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ACC3E">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sz w:val="44"/>
          <w:szCs w:val="44"/>
          <w:lang w:eastAsia="zh-CN"/>
        </w:rPr>
        <w:t>玉溪市民政局</w:t>
      </w:r>
      <w:r>
        <w:rPr>
          <w:rFonts w:hint="default" w:ascii="Times New Roman" w:hAnsi="Times New Roman" w:eastAsia="方正小标宋_GBK" w:cs="Times New Roman"/>
          <w:sz w:val="44"/>
          <w:szCs w:val="44"/>
          <w:lang w:val="en-US" w:eastAsia="zh-CN"/>
        </w:rPr>
        <w:t>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color w:val="auto"/>
          <w:spacing w:val="14"/>
          <w:sz w:val="44"/>
          <w:szCs w:val="44"/>
          <w:highlight w:val="none"/>
          <w:lang w:val="en-US" w:eastAsia="zh-CN"/>
        </w:rPr>
        <w:t>预算重点领域</w:t>
      </w:r>
    </w:p>
    <w:p w14:paraId="0321B26D">
      <w:pPr>
        <w:keepNext w:val="0"/>
        <w:keepLines w:val="0"/>
        <w:pageBreakBefore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color w:val="auto"/>
          <w:spacing w:val="14"/>
          <w:sz w:val="44"/>
          <w:szCs w:val="44"/>
          <w:highlight w:val="none"/>
          <w:lang w:val="en-US" w:eastAsia="zh-CN"/>
        </w:rPr>
        <w:t>财政项目文本公开</w:t>
      </w:r>
    </w:p>
    <w:p w14:paraId="7EE75C92">
      <w:pPr>
        <w:pStyle w:val="3"/>
        <w:keepNext w:val="0"/>
        <w:keepLines w:val="0"/>
        <w:pageBreakBefore w:val="0"/>
        <w:kinsoku/>
        <w:wordWrap/>
        <w:overflowPunct/>
        <w:topLinePunct w:val="0"/>
        <w:autoSpaceDE/>
        <w:autoSpaceDN/>
        <w:bidi w:val="0"/>
        <w:adjustRightInd/>
        <w:snapToGrid/>
        <w:spacing w:line="600" w:lineRule="exact"/>
        <w:ind w:left="0"/>
        <w:textAlignment w:val="auto"/>
        <w:rPr>
          <w:rFonts w:hint="default" w:ascii="Times New Roman" w:hAnsi="Times New Roman" w:cs="Times New Roman"/>
          <w:lang w:val="en-US" w:eastAsia="zh-CN"/>
        </w:rPr>
      </w:pPr>
    </w:p>
    <w:p w14:paraId="0E647B69">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一、项目名称</w:t>
      </w:r>
    </w:p>
    <w:p w14:paraId="3742DB94">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市级福彩公益金项目补助</w:t>
      </w:r>
      <w:r>
        <w:rPr>
          <w:rFonts w:hint="eastAsia" w:eastAsia="方正仿宋_GBK" w:cs="Times New Roman"/>
          <w:color w:val="auto"/>
          <w:kern w:val="0"/>
          <w:sz w:val="32"/>
          <w:szCs w:val="32"/>
          <w:highlight w:val="none"/>
          <w:lang w:eastAsia="zh-CN"/>
        </w:rPr>
        <w:t>资金</w:t>
      </w:r>
    </w:p>
    <w:p w14:paraId="0BA3A57A">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二、立项依据</w:t>
      </w:r>
    </w:p>
    <w:p w14:paraId="30DD2955">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福利彩票是国家为发展社会福利事业，授予民政部门的一项特殊政策。福利彩票的发行由国务院特许发行，发行体制由中国福利彩票发行管理中心统一组织，省级福利彩票发行中心、市县级福利彩票销售机构具体销售。福利彩票公益金是按照规定比例从彩票发行销售收入中提取的，专项用于社会福利公益事业的资金。</w:t>
      </w:r>
    </w:p>
    <w:p w14:paraId="3728DE81">
      <w:pPr>
        <w:pStyle w:val="10"/>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根据《云南省民政厅福利彩票公益金使用管理办法》（云民发〔2021〕184号）等文件精神，福彩公益金使用应当遵循福利彩票</w:t>
      </w:r>
      <w:r>
        <w:rPr>
          <w:rFonts w:hint="eastAsia" w:ascii="方正仿宋_GBK" w:hAnsi="方正仿宋_GBK" w:eastAsia="方正仿宋_GBK" w:cs="方正仿宋_GBK"/>
          <w:sz w:val="32"/>
          <w:szCs w:val="32"/>
        </w:rPr>
        <w:t>“扶老、助残、救孤、济困”的</w:t>
      </w:r>
      <w:r>
        <w:rPr>
          <w:rFonts w:hint="default" w:ascii="Times New Roman" w:hAnsi="Times New Roman" w:eastAsia="方正仿宋_GBK" w:cs="Times New Roman"/>
          <w:sz w:val="32"/>
          <w:szCs w:val="32"/>
        </w:rPr>
        <w:t>发行宗旨，主要用于资助为老年人、残疾人、儿童（孤儿，农村留守儿童和困境儿童，事实无人抚养儿童以及艾滋病病毒感染儿童等）和其他基本生活困难人员等特殊群体提供服务的社会福利项目，以及符合宗旨的其他社会公益项目（殡葬服务体系建设、慈善捐赠体系建设、社会工作和志愿服务、培育发展社会组织、基层社会治理体系建设等）。</w:t>
      </w:r>
    </w:p>
    <w:p w14:paraId="3D338449">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三、项目实施单位</w:t>
      </w:r>
    </w:p>
    <w:p w14:paraId="0E8D01D0">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kern w:val="30"/>
          <w:sz w:val="32"/>
          <w:szCs w:val="32"/>
          <w:lang w:val="en-US" w:eastAsia="zh-CN" w:bidi="ar-SA"/>
        </w:rPr>
        <w:t>玉溪市各县（市、区）民政局</w:t>
      </w:r>
    </w:p>
    <w:p w14:paraId="0D8CFCB1">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四、项目基本概况</w:t>
      </w:r>
    </w:p>
    <w:p w14:paraId="6AF8FFCA">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kern w:val="30"/>
          <w:sz w:val="32"/>
          <w:szCs w:val="32"/>
          <w:lang w:val="en-US" w:eastAsia="zh-CN" w:bidi="ar-SA"/>
        </w:rPr>
        <w:t>努力构建以居家社区机构相协调、医养康养相结合的养老服务体系；优化婚姻登记服务，打造一批高质量的婚姻登记场所，全面提升婚姻登记公共管理和服务水平，推进全市婚姻登记工作规范化建设，进一步倡导婚俗新风，助力婚姻家庭幸福美满；全面深化殡葬改革成果，建立布局合理、设施完善、服务便捷的覆盖全市的殡葬服务设施网络；充分发挥社会工作力量在创新社会治理、服务乡村振兴中的重要辅助作用，提高乡镇（街道）社工站专业化服务水平，培育社会工作专业人才等。</w:t>
      </w:r>
    </w:p>
    <w:p w14:paraId="32A2CAA8">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五、项目实施内容</w:t>
      </w:r>
    </w:p>
    <w:p w14:paraId="4A78FB10">
      <w:pPr>
        <w:keepNext w:val="0"/>
        <w:keepLines w:val="0"/>
        <w:pageBreakBefore w:val="0"/>
        <w:widowControl w:val="0"/>
        <w:kinsoku/>
        <w:wordWrap/>
        <w:overflowPunct/>
        <w:topLinePunct w:val="0"/>
        <w:autoSpaceDE/>
        <w:autoSpaceDN/>
        <w:bidi w:val="0"/>
        <w:adjustRightInd w:val="0"/>
        <w:snapToGrid w:val="0"/>
        <w:spacing w:line="590" w:lineRule="atLeast"/>
        <w:ind w:left="0" w:leftChars="0" w:right="0" w:rightChars="0" w:firstLine="640" w:firstLineChars="200"/>
        <w:jc w:val="both"/>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实施</w:t>
      </w:r>
      <w:r>
        <w:rPr>
          <w:rFonts w:hint="eastAsia" w:eastAsia="方正仿宋_GBK" w:cs="Times New Roman"/>
          <w:color w:val="auto"/>
          <w:kern w:val="0"/>
          <w:sz w:val="32"/>
          <w:szCs w:val="32"/>
          <w:highlight w:val="none"/>
          <w:lang w:eastAsia="zh-CN"/>
        </w:rPr>
        <w:t>老年人福利项目</w:t>
      </w:r>
      <w:r>
        <w:rPr>
          <w:rFonts w:hint="default" w:ascii="Times New Roman" w:hAnsi="Times New Roman" w:eastAsia="方正仿宋_GBK" w:cs="Times New Roman"/>
          <w:color w:val="auto"/>
          <w:kern w:val="0"/>
          <w:sz w:val="32"/>
          <w:szCs w:val="32"/>
          <w:highlight w:val="none"/>
          <w:lang w:eastAsia="zh-CN"/>
        </w:rPr>
        <w:t>，主要是对一些因各种原因导致项目建设资金缺口比较大的历年在建和已建成的养老服务体系项目给予适当补助。支持在运营部分养老服务设施的提升改造，支持部分难以申报省级以上重大项目的村、组养老服务设施建设。实施农村公益性公墓建设项目，主要用于新建和改造一批农村公益性公墓，实施节地生态安葬，建立布局合理、设施完善、服务便捷的覆盖全市的殡葬服务设施网络</w:t>
      </w:r>
      <w:r>
        <w:rPr>
          <w:rFonts w:hint="eastAsia" w:eastAsia="方正仿宋_GBK" w:cs="Times New Roman"/>
          <w:color w:val="auto"/>
          <w:kern w:val="0"/>
          <w:sz w:val="32"/>
          <w:szCs w:val="32"/>
          <w:highlight w:val="none"/>
          <w:lang w:eastAsia="zh-CN"/>
        </w:rPr>
        <w:t>。实施省级乡镇（街道）社会工作服务站示范站项目，主要是用于澄江市凤麓街道、通海县秀山街道、峨山县富良棚乡开展社会力量参与社会服务项目，包括社会救助、为老养老、儿童关爱保护、社区治理、社会事务等社会工作专业服务，以及社会工作专业人才队伍建设等。实施社会救助“物质+服务”改革创新试点项目，主要是</w:t>
      </w:r>
      <w:r>
        <w:rPr>
          <w:rFonts w:hint="eastAsia" w:ascii="Times New Roman" w:hAnsi="Times New Roman" w:eastAsia="方正仿宋_GBK" w:cs="Times New Roman"/>
          <w:sz w:val="32"/>
          <w:szCs w:val="32"/>
          <w:lang w:val="en-US" w:eastAsia="zh-CN"/>
        </w:rPr>
        <w:t>在政府相关部门履行职能职责基础上，通过政府购买服务、社会力量参与等方式为服务对象提供照料护理、康复训练、送医陪护、心理疏导、社会融入等服务，满足困难群众在日常生活中面临的个性化、多样化需求。</w:t>
      </w:r>
      <w:r>
        <w:rPr>
          <w:rFonts w:hint="eastAsia" w:eastAsia="方正仿宋_GBK" w:cs="Times New Roman"/>
          <w:color w:val="auto"/>
          <w:kern w:val="0"/>
          <w:sz w:val="32"/>
          <w:szCs w:val="32"/>
          <w:highlight w:val="none"/>
          <w:lang w:eastAsia="zh-CN"/>
        </w:rPr>
        <w:t>实施</w:t>
      </w:r>
      <w:r>
        <w:rPr>
          <w:rFonts w:hint="eastAsia" w:ascii="Times New Roman" w:hAnsi="Times New Roman" w:eastAsia="方正仿宋_GBK" w:cs="Times New Roman"/>
          <w:sz w:val="32"/>
          <w:szCs w:val="32"/>
          <w:lang w:val="en-US" w:eastAsia="zh-CN"/>
        </w:rPr>
        <w:t>基层民政服务站试点建设项目</w:t>
      </w:r>
      <w:r>
        <w:rPr>
          <w:rFonts w:hint="eastAsia" w:eastAsia="方正仿宋_GBK" w:cs="Times New Roman"/>
          <w:sz w:val="32"/>
          <w:szCs w:val="32"/>
          <w:lang w:val="en-US" w:eastAsia="zh-CN"/>
        </w:rPr>
        <w:t>，包括设备、物品配置等硬件建设以及规范服务流程、方法和社会工作专业人才队伍建设等管理内容，采取政府购买服务的方式，选择符合要求的社会组织、事业单位、企业等社会力量承接运营。实施婚姻登记机关规范化建设补助项目，主要是用于婚姻登记点购置必要婚姻登记设备（办理婚姻登记的电脑、高拍仪、笔记采集仪等）；开展婚姻家庭辅导（婚姻登记辅导室建设、政府购买服务开展婚姻家庭辅导）；开展集体婚礼（颁证）活动等。</w:t>
      </w:r>
    </w:p>
    <w:p w14:paraId="6EF63008">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eastAsia="zh-CN"/>
        </w:rPr>
        <w:t>六、资金安排情况</w:t>
      </w:r>
    </w:p>
    <w:p w14:paraId="20FF1585">
      <w:pPr>
        <w:pStyle w:val="3"/>
        <w:rPr>
          <w:rFonts w:hint="default"/>
          <w:lang w:eastAsia="zh-CN"/>
        </w:rPr>
      </w:pPr>
    </w:p>
    <w:p w14:paraId="73403D88">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资金测算表</w:t>
      </w:r>
      <w:bookmarkStart w:id="0" w:name="_GoBack"/>
      <w:bookmarkEnd w:id="0"/>
      <w:r>
        <w:rPr>
          <w:rFonts w:hint="default" w:ascii="Times New Roman" w:hAnsi="Times New Roman" w:eastAsia="方正仿宋_GBK" w:cs="Times New Roman"/>
          <w:b w:val="0"/>
          <w:bCs w:val="0"/>
          <w:color w:val="auto"/>
          <w:sz w:val="32"/>
          <w:szCs w:val="32"/>
          <w:lang w:val="en-US" w:eastAsia="zh-CN"/>
        </w:rPr>
        <w:t xml:space="preserve">明细          </w:t>
      </w:r>
    </w:p>
    <w:p w14:paraId="02D22900">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640" w:firstLineChars="200"/>
        <w:jc w:val="center"/>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22"/>
          <w:szCs w:val="22"/>
          <w:lang w:val="en-US" w:eastAsia="zh-CN"/>
        </w:rPr>
        <w:t>单位（万元）</w:t>
      </w:r>
    </w:p>
    <w:tbl>
      <w:tblPr>
        <w:tblStyle w:val="7"/>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883"/>
        <w:gridCol w:w="871"/>
        <w:gridCol w:w="1048"/>
        <w:gridCol w:w="1257"/>
        <w:gridCol w:w="1063"/>
        <w:gridCol w:w="1414"/>
        <w:gridCol w:w="918"/>
      </w:tblGrid>
      <w:tr w14:paraId="7C2F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vAlign w:val="center"/>
          </w:tcPr>
          <w:p w14:paraId="732D9784">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sz w:val="21"/>
                <w:szCs w:val="21"/>
                <w:vertAlign w:val="baseline"/>
                <w:lang w:val="en-US" w:eastAsia="zh-CN"/>
              </w:rPr>
              <w:t>县区/项目明细</w:t>
            </w:r>
          </w:p>
        </w:tc>
        <w:tc>
          <w:tcPr>
            <w:tcW w:w="883" w:type="dxa"/>
            <w:vAlign w:val="center"/>
          </w:tcPr>
          <w:p w14:paraId="4887F805">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sz w:val="21"/>
                <w:szCs w:val="21"/>
                <w:vertAlign w:val="baseline"/>
                <w:lang w:val="en-US" w:eastAsia="zh-CN"/>
              </w:rPr>
              <w:t>老年人福利项目</w:t>
            </w:r>
          </w:p>
        </w:tc>
        <w:tc>
          <w:tcPr>
            <w:tcW w:w="871" w:type="dxa"/>
            <w:vAlign w:val="center"/>
          </w:tcPr>
          <w:p w14:paraId="39451232">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sz w:val="21"/>
                <w:szCs w:val="21"/>
                <w:lang w:val="en-US" w:eastAsia="zh-CN"/>
              </w:rPr>
              <w:t>殡葬服务体系建设项目</w:t>
            </w:r>
          </w:p>
        </w:tc>
        <w:tc>
          <w:tcPr>
            <w:tcW w:w="1048" w:type="dxa"/>
            <w:vAlign w:val="center"/>
          </w:tcPr>
          <w:p w14:paraId="0ECBAE59">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eastAsia" w:ascii="Times New Roman" w:hAnsi="Times New Roman" w:eastAsia="方正仿宋_GBK" w:cs="Times New Roman"/>
                <w:b/>
                <w:bCs/>
                <w:color w:val="auto"/>
                <w:sz w:val="21"/>
                <w:szCs w:val="21"/>
                <w:vertAlign w:val="baseline"/>
                <w:lang w:val="en-US" w:eastAsia="zh-CN"/>
              </w:rPr>
              <w:t>社会组织类项目</w:t>
            </w:r>
          </w:p>
        </w:tc>
        <w:tc>
          <w:tcPr>
            <w:tcW w:w="1257" w:type="dxa"/>
            <w:vAlign w:val="center"/>
          </w:tcPr>
          <w:p w14:paraId="0594A880">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sz w:val="21"/>
                <w:szCs w:val="21"/>
                <w:vertAlign w:val="baseline"/>
                <w:lang w:val="en-US" w:eastAsia="zh-CN"/>
              </w:rPr>
              <w:t>基层民政服务站试点建设项目</w:t>
            </w:r>
          </w:p>
        </w:tc>
        <w:tc>
          <w:tcPr>
            <w:tcW w:w="1063" w:type="dxa"/>
            <w:vAlign w:val="center"/>
          </w:tcPr>
          <w:p w14:paraId="0C6B4FA3">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kern w:val="2"/>
                <w:sz w:val="21"/>
                <w:szCs w:val="21"/>
                <w:lang w:val="en-US" w:eastAsia="zh-CN" w:bidi="ar-SA"/>
              </w:rPr>
              <w:t>婚姻登记机关规范化建设</w:t>
            </w:r>
          </w:p>
        </w:tc>
        <w:tc>
          <w:tcPr>
            <w:tcW w:w="1414" w:type="dxa"/>
            <w:vAlign w:val="center"/>
          </w:tcPr>
          <w:p w14:paraId="5A33E546">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default" w:ascii="Times New Roman" w:hAnsi="Times New Roman" w:eastAsia="方正仿宋_GBK" w:cs="Times New Roman"/>
                <w:b/>
                <w:bCs/>
                <w:color w:val="auto"/>
                <w:kern w:val="2"/>
                <w:sz w:val="21"/>
                <w:szCs w:val="21"/>
                <w:lang w:val="en-US" w:eastAsia="zh-CN" w:bidi="ar-SA"/>
              </w:rPr>
              <w:t>社会救助“物质+服务”改革创新试点</w:t>
            </w:r>
          </w:p>
        </w:tc>
        <w:tc>
          <w:tcPr>
            <w:tcW w:w="918" w:type="dxa"/>
            <w:vAlign w:val="center"/>
          </w:tcPr>
          <w:p w14:paraId="1D5E3175">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kern w:val="2"/>
                <w:sz w:val="21"/>
                <w:szCs w:val="21"/>
                <w:lang w:val="en-US" w:eastAsia="zh-CN" w:bidi="ar-SA"/>
              </w:rPr>
            </w:pPr>
            <w:r>
              <w:rPr>
                <w:rFonts w:hint="default" w:ascii="Times New Roman" w:hAnsi="Times New Roman" w:eastAsia="方正仿宋_GBK" w:cs="Times New Roman"/>
                <w:b/>
                <w:bCs/>
                <w:color w:val="auto"/>
                <w:kern w:val="2"/>
                <w:sz w:val="21"/>
                <w:szCs w:val="21"/>
                <w:lang w:val="en-US" w:eastAsia="zh-CN" w:bidi="ar-SA"/>
              </w:rPr>
              <w:t>合计</w:t>
            </w:r>
          </w:p>
        </w:tc>
      </w:tr>
      <w:tr w14:paraId="2095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7495F7C1">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红塔区</w:t>
            </w:r>
          </w:p>
        </w:tc>
        <w:tc>
          <w:tcPr>
            <w:tcW w:w="883" w:type="dxa"/>
            <w:vAlign w:val="center"/>
          </w:tcPr>
          <w:p w14:paraId="0082383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40</w:t>
            </w:r>
          </w:p>
        </w:tc>
        <w:tc>
          <w:tcPr>
            <w:tcW w:w="871" w:type="dxa"/>
            <w:vAlign w:val="center"/>
          </w:tcPr>
          <w:p w14:paraId="3C6B6563">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2C09814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257" w:type="dxa"/>
            <w:vAlign w:val="center"/>
          </w:tcPr>
          <w:p w14:paraId="4ED0651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063" w:type="dxa"/>
            <w:vAlign w:val="center"/>
          </w:tcPr>
          <w:p w14:paraId="6C74C860">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20</w:t>
            </w:r>
          </w:p>
        </w:tc>
        <w:tc>
          <w:tcPr>
            <w:tcW w:w="1414" w:type="dxa"/>
            <w:vAlign w:val="center"/>
          </w:tcPr>
          <w:p w14:paraId="04F5BA51">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747764CC">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145</w:t>
            </w:r>
          </w:p>
        </w:tc>
      </w:tr>
      <w:tr w14:paraId="0023E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1F79FCC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江川区</w:t>
            </w:r>
          </w:p>
        </w:tc>
        <w:tc>
          <w:tcPr>
            <w:tcW w:w="883" w:type="dxa"/>
            <w:vAlign w:val="center"/>
          </w:tcPr>
          <w:p w14:paraId="6C4C8CC3">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40</w:t>
            </w:r>
          </w:p>
        </w:tc>
        <w:tc>
          <w:tcPr>
            <w:tcW w:w="871" w:type="dxa"/>
            <w:vAlign w:val="center"/>
          </w:tcPr>
          <w:p w14:paraId="22D671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0722A1C0">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257" w:type="dxa"/>
            <w:vAlign w:val="center"/>
          </w:tcPr>
          <w:p w14:paraId="6810223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5</w:t>
            </w:r>
          </w:p>
        </w:tc>
        <w:tc>
          <w:tcPr>
            <w:tcW w:w="1063" w:type="dxa"/>
            <w:vAlign w:val="center"/>
          </w:tcPr>
          <w:p w14:paraId="3F3571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2D7FFCF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5492B022">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130</w:t>
            </w:r>
          </w:p>
        </w:tc>
      </w:tr>
      <w:tr w14:paraId="55B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43FBE135">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澄江市</w:t>
            </w:r>
          </w:p>
        </w:tc>
        <w:tc>
          <w:tcPr>
            <w:tcW w:w="883" w:type="dxa"/>
            <w:vAlign w:val="center"/>
          </w:tcPr>
          <w:p w14:paraId="55D1FA66">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67</w:t>
            </w:r>
          </w:p>
        </w:tc>
        <w:tc>
          <w:tcPr>
            <w:tcW w:w="871" w:type="dxa"/>
            <w:vAlign w:val="center"/>
          </w:tcPr>
          <w:p w14:paraId="7E34B3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39DAF1EF">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6.05</w:t>
            </w:r>
          </w:p>
        </w:tc>
        <w:tc>
          <w:tcPr>
            <w:tcW w:w="1257" w:type="dxa"/>
            <w:vAlign w:val="center"/>
          </w:tcPr>
          <w:p w14:paraId="74021D1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063" w:type="dxa"/>
            <w:vAlign w:val="center"/>
          </w:tcPr>
          <w:p w14:paraId="092565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eastAsia="方正仿宋_GBK" w:cs="Times New Roman"/>
                <w:b w:val="0"/>
                <w:bCs w:val="0"/>
                <w:color w:val="auto"/>
                <w:sz w:val="28"/>
                <w:szCs w:val="28"/>
                <w:vertAlign w:val="baseline"/>
                <w:lang w:val="en-US" w:eastAsia="zh-CN"/>
              </w:rPr>
              <w:t>20</w:t>
            </w:r>
          </w:p>
        </w:tc>
        <w:tc>
          <w:tcPr>
            <w:tcW w:w="1414" w:type="dxa"/>
            <w:vAlign w:val="center"/>
          </w:tcPr>
          <w:p w14:paraId="2B0986F4">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29A9BC4B">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168.05</w:t>
            </w:r>
          </w:p>
        </w:tc>
      </w:tr>
      <w:tr w14:paraId="66CD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0572E960">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通海县</w:t>
            </w:r>
          </w:p>
        </w:tc>
        <w:tc>
          <w:tcPr>
            <w:tcW w:w="883" w:type="dxa"/>
            <w:vAlign w:val="center"/>
          </w:tcPr>
          <w:p w14:paraId="5FD0A8F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102</w:t>
            </w:r>
          </w:p>
        </w:tc>
        <w:tc>
          <w:tcPr>
            <w:tcW w:w="871" w:type="dxa"/>
            <w:vAlign w:val="center"/>
          </w:tcPr>
          <w:p w14:paraId="43C2FD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eastAsia="方正仿宋_GBK" w:cs="Times New Roman"/>
                <w:b w:val="0"/>
                <w:bCs w:val="0"/>
                <w:color w:val="auto"/>
                <w:sz w:val="28"/>
                <w:szCs w:val="28"/>
                <w:vertAlign w:val="baseline"/>
                <w:lang w:val="en-US" w:eastAsia="zh-CN"/>
              </w:rPr>
              <w:t>9</w:t>
            </w:r>
            <w:r>
              <w:rPr>
                <w:rFonts w:hint="eastAsia" w:ascii="Times New Roman" w:hAnsi="Times New Roman" w:eastAsia="方正仿宋_GBK" w:cs="Times New Roman"/>
                <w:b w:val="0"/>
                <w:bCs w:val="0"/>
                <w:color w:val="auto"/>
                <w:sz w:val="28"/>
                <w:szCs w:val="28"/>
                <w:vertAlign w:val="baseline"/>
                <w:lang w:val="en-US" w:eastAsia="zh-CN"/>
              </w:rPr>
              <w:t>5</w:t>
            </w:r>
          </w:p>
        </w:tc>
        <w:tc>
          <w:tcPr>
            <w:tcW w:w="1048" w:type="dxa"/>
            <w:vAlign w:val="center"/>
          </w:tcPr>
          <w:p w14:paraId="298307F5">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6.05</w:t>
            </w:r>
          </w:p>
        </w:tc>
        <w:tc>
          <w:tcPr>
            <w:tcW w:w="1257" w:type="dxa"/>
            <w:vAlign w:val="center"/>
          </w:tcPr>
          <w:p w14:paraId="66CD0118">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default" w:ascii="Times New Roman" w:hAnsi="Times New Roman" w:eastAsia="方正仿宋_GBK" w:cs="Times New Roman"/>
                <w:b w:val="0"/>
                <w:bCs w:val="0"/>
                <w:color w:val="auto"/>
                <w:sz w:val="28"/>
                <w:szCs w:val="28"/>
                <w:vertAlign w:val="baseline"/>
                <w:lang w:val="en-US" w:eastAsia="zh-CN"/>
              </w:rPr>
              <w:t>10</w:t>
            </w:r>
          </w:p>
        </w:tc>
        <w:tc>
          <w:tcPr>
            <w:tcW w:w="1063" w:type="dxa"/>
            <w:vAlign w:val="center"/>
          </w:tcPr>
          <w:p w14:paraId="3A1C84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4BE4596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2BF65320">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223.05</w:t>
            </w:r>
          </w:p>
        </w:tc>
      </w:tr>
      <w:tr w14:paraId="0EE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48E894A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华宁县</w:t>
            </w:r>
          </w:p>
        </w:tc>
        <w:tc>
          <w:tcPr>
            <w:tcW w:w="883" w:type="dxa"/>
            <w:vAlign w:val="center"/>
          </w:tcPr>
          <w:p w14:paraId="25552E65">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27</w:t>
            </w:r>
          </w:p>
        </w:tc>
        <w:tc>
          <w:tcPr>
            <w:tcW w:w="871" w:type="dxa"/>
            <w:vAlign w:val="center"/>
          </w:tcPr>
          <w:p w14:paraId="191AB7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57D06354">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kern w:val="30"/>
                <w:sz w:val="28"/>
                <w:szCs w:val="28"/>
                <w:vertAlign w:val="baseline"/>
                <w:lang w:val="en-US" w:eastAsia="zh-CN" w:bidi="ar-SA"/>
              </w:rPr>
              <w:t>0</w:t>
            </w:r>
          </w:p>
        </w:tc>
        <w:tc>
          <w:tcPr>
            <w:tcW w:w="1257" w:type="dxa"/>
            <w:vAlign w:val="center"/>
          </w:tcPr>
          <w:p w14:paraId="0652CC3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063" w:type="dxa"/>
            <w:vAlign w:val="center"/>
          </w:tcPr>
          <w:p w14:paraId="3CD014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15B9C890">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1C08DEE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112</w:t>
            </w:r>
          </w:p>
        </w:tc>
      </w:tr>
      <w:tr w14:paraId="563FB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613D7DFC">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易门县</w:t>
            </w:r>
          </w:p>
        </w:tc>
        <w:tc>
          <w:tcPr>
            <w:tcW w:w="883" w:type="dxa"/>
            <w:vAlign w:val="center"/>
          </w:tcPr>
          <w:p w14:paraId="0428D67D">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27</w:t>
            </w:r>
          </w:p>
        </w:tc>
        <w:tc>
          <w:tcPr>
            <w:tcW w:w="871" w:type="dxa"/>
            <w:vAlign w:val="center"/>
          </w:tcPr>
          <w:p w14:paraId="1C5FC0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1D36D8F2">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257" w:type="dxa"/>
            <w:vAlign w:val="center"/>
          </w:tcPr>
          <w:p w14:paraId="158DDD3C">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063" w:type="dxa"/>
            <w:vAlign w:val="center"/>
          </w:tcPr>
          <w:p w14:paraId="03CA51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4655712A">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4390F3C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112</w:t>
            </w:r>
          </w:p>
        </w:tc>
      </w:tr>
      <w:tr w14:paraId="56AF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4C1DF0B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峨山县</w:t>
            </w:r>
          </w:p>
        </w:tc>
        <w:tc>
          <w:tcPr>
            <w:tcW w:w="883" w:type="dxa"/>
            <w:vAlign w:val="center"/>
          </w:tcPr>
          <w:p w14:paraId="794DCEDF">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47</w:t>
            </w:r>
          </w:p>
        </w:tc>
        <w:tc>
          <w:tcPr>
            <w:tcW w:w="871" w:type="dxa"/>
            <w:vAlign w:val="center"/>
          </w:tcPr>
          <w:p w14:paraId="3C5A58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eastAsia="方正仿宋_GBK" w:cs="Times New Roman"/>
                <w:b w:val="0"/>
                <w:bCs w:val="0"/>
                <w:color w:val="auto"/>
                <w:sz w:val="28"/>
                <w:szCs w:val="28"/>
                <w:vertAlign w:val="baseline"/>
                <w:lang w:val="en-US" w:eastAsia="zh-CN"/>
              </w:rPr>
              <w:t>8</w:t>
            </w:r>
            <w:r>
              <w:rPr>
                <w:rFonts w:hint="eastAsia" w:ascii="Times New Roman" w:hAnsi="Times New Roman" w:eastAsia="方正仿宋_GBK" w:cs="Times New Roman"/>
                <w:b w:val="0"/>
                <w:bCs w:val="0"/>
                <w:color w:val="auto"/>
                <w:sz w:val="28"/>
                <w:szCs w:val="28"/>
                <w:vertAlign w:val="baseline"/>
                <w:lang w:val="en-US" w:eastAsia="zh-CN"/>
              </w:rPr>
              <w:t>5</w:t>
            </w:r>
          </w:p>
        </w:tc>
        <w:tc>
          <w:tcPr>
            <w:tcW w:w="1048" w:type="dxa"/>
            <w:vAlign w:val="center"/>
          </w:tcPr>
          <w:p w14:paraId="22A21052">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6.05</w:t>
            </w:r>
          </w:p>
        </w:tc>
        <w:tc>
          <w:tcPr>
            <w:tcW w:w="1257" w:type="dxa"/>
            <w:vAlign w:val="center"/>
          </w:tcPr>
          <w:p w14:paraId="0EAE140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5</w:t>
            </w:r>
          </w:p>
        </w:tc>
        <w:tc>
          <w:tcPr>
            <w:tcW w:w="1063" w:type="dxa"/>
            <w:vAlign w:val="center"/>
          </w:tcPr>
          <w:p w14:paraId="494E69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6C232DD3">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6AFAA674">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153.05</w:t>
            </w:r>
          </w:p>
        </w:tc>
      </w:tr>
      <w:tr w14:paraId="6484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42E7848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新平县</w:t>
            </w:r>
          </w:p>
        </w:tc>
        <w:tc>
          <w:tcPr>
            <w:tcW w:w="883" w:type="dxa"/>
            <w:vAlign w:val="center"/>
          </w:tcPr>
          <w:p w14:paraId="51455E1F">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74</w:t>
            </w:r>
          </w:p>
        </w:tc>
        <w:tc>
          <w:tcPr>
            <w:tcW w:w="871" w:type="dxa"/>
            <w:vAlign w:val="center"/>
          </w:tcPr>
          <w:p w14:paraId="1CEE53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276EDEE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257" w:type="dxa"/>
            <w:vAlign w:val="center"/>
          </w:tcPr>
          <w:p w14:paraId="00440BAF">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063" w:type="dxa"/>
            <w:vAlign w:val="center"/>
          </w:tcPr>
          <w:p w14:paraId="52110C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eastAsia="方正仿宋_GBK" w:cs="Times New Roman"/>
                <w:b w:val="0"/>
                <w:bCs w:val="0"/>
                <w:color w:val="auto"/>
                <w:sz w:val="28"/>
                <w:szCs w:val="28"/>
                <w:vertAlign w:val="baseline"/>
                <w:lang w:val="en-US" w:eastAsia="zh-CN"/>
              </w:rPr>
              <w:t>20</w:t>
            </w:r>
          </w:p>
        </w:tc>
        <w:tc>
          <w:tcPr>
            <w:tcW w:w="1414" w:type="dxa"/>
            <w:vAlign w:val="center"/>
          </w:tcPr>
          <w:p w14:paraId="338F9CE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50</w:t>
            </w:r>
          </w:p>
        </w:tc>
        <w:tc>
          <w:tcPr>
            <w:tcW w:w="918" w:type="dxa"/>
            <w:vAlign w:val="center"/>
          </w:tcPr>
          <w:p w14:paraId="200D309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219</w:t>
            </w:r>
          </w:p>
        </w:tc>
      </w:tr>
      <w:tr w14:paraId="53E9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30F01132">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default" w:ascii="Times New Roman" w:hAnsi="Times New Roman" w:eastAsia="方正仿宋_GBK" w:cs="Times New Roman"/>
                <w:b w:val="0"/>
                <w:bCs w:val="0"/>
                <w:color w:val="auto"/>
                <w:sz w:val="28"/>
                <w:szCs w:val="28"/>
                <w:vertAlign w:val="baseline"/>
                <w:lang w:val="en-US" w:eastAsia="zh-CN"/>
              </w:rPr>
              <w:t>元江县</w:t>
            </w:r>
          </w:p>
        </w:tc>
        <w:tc>
          <w:tcPr>
            <w:tcW w:w="883" w:type="dxa"/>
            <w:vAlign w:val="center"/>
          </w:tcPr>
          <w:p w14:paraId="2970B15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94</w:t>
            </w:r>
          </w:p>
        </w:tc>
        <w:tc>
          <w:tcPr>
            <w:tcW w:w="871" w:type="dxa"/>
            <w:vAlign w:val="center"/>
          </w:tcPr>
          <w:p w14:paraId="11D7BDF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75</w:t>
            </w:r>
          </w:p>
        </w:tc>
        <w:tc>
          <w:tcPr>
            <w:tcW w:w="1048" w:type="dxa"/>
            <w:vAlign w:val="center"/>
          </w:tcPr>
          <w:p w14:paraId="70EE8049">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257" w:type="dxa"/>
            <w:vAlign w:val="center"/>
          </w:tcPr>
          <w:p w14:paraId="026FC013">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val="0"/>
                <w:bCs w:val="0"/>
                <w:color w:val="auto"/>
                <w:kern w:val="30"/>
                <w:sz w:val="28"/>
                <w:szCs w:val="28"/>
                <w:vertAlign w:val="baseline"/>
                <w:lang w:val="en-US" w:eastAsia="zh-CN" w:bidi="ar-SA"/>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1063" w:type="dxa"/>
            <w:vAlign w:val="center"/>
          </w:tcPr>
          <w:p w14:paraId="62D0E7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10</w:t>
            </w:r>
          </w:p>
        </w:tc>
        <w:tc>
          <w:tcPr>
            <w:tcW w:w="1414" w:type="dxa"/>
            <w:vAlign w:val="center"/>
          </w:tcPr>
          <w:p w14:paraId="720A9286">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val="0"/>
                <w:bCs w:val="0"/>
                <w:color w:val="auto"/>
                <w:sz w:val="28"/>
                <w:szCs w:val="28"/>
                <w:vertAlign w:val="baseline"/>
                <w:lang w:val="en-US" w:eastAsia="zh-CN"/>
              </w:rPr>
            </w:pPr>
            <w:r>
              <w:rPr>
                <w:rFonts w:hint="eastAsia" w:ascii="Times New Roman" w:hAnsi="Times New Roman" w:eastAsia="方正仿宋_GBK" w:cs="Times New Roman"/>
                <w:b w:val="0"/>
                <w:bCs w:val="0"/>
                <w:color w:val="auto"/>
                <w:sz w:val="28"/>
                <w:szCs w:val="28"/>
                <w:vertAlign w:val="baseline"/>
                <w:lang w:val="en-US" w:eastAsia="zh-CN"/>
              </w:rPr>
              <w:t>0</w:t>
            </w:r>
          </w:p>
        </w:tc>
        <w:tc>
          <w:tcPr>
            <w:tcW w:w="918" w:type="dxa"/>
            <w:vAlign w:val="center"/>
          </w:tcPr>
          <w:p w14:paraId="719A391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179</w:t>
            </w:r>
          </w:p>
        </w:tc>
      </w:tr>
      <w:tr w14:paraId="1D98F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04" w:type="dxa"/>
            <w:vAlign w:val="center"/>
          </w:tcPr>
          <w:p w14:paraId="5A55D346">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8"/>
                <w:szCs w:val="28"/>
                <w:vertAlign w:val="baseline"/>
                <w:lang w:val="en-US" w:eastAsia="zh-CN"/>
              </w:rPr>
            </w:pPr>
            <w:r>
              <w:rPr>
                <w:rFonts w:hint="default" w:ascii="Times New Roman" w:hAnsi="Times New Roman" w:eastAsia="方正仿宋_GBK" w:cs="Times New Roman"/>
                <w:b/>
                <w:bCs/>
                <w:color w:val="auto"/>
                <w:sz w:val="28"/>
                <w:szCs w:val="28"/>
                <w:vertAlign w:val="baseline"/>
                <w:lang w:val="en-US" w:eastAsia="zh-CN"/>
              </w:rPr>
              <w:t>合计</w:t>
            </w:r>
          </w:p>
        </w:tc>
        <w:tc>
          <w:tcPr>
            <w:tcW w:w="883" w:type="dxa"/>
            <w:vAlign w:val="center"/>
          </w:tcPr>
          <w:p w14:paraId="3DDC1414">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518</w:t>
            </w:r>
          </w:p>
        </w:tc>
        <w:tc>
          <w:tcPr>
            <w:tcW w:w="871" w:type="dxa"/>
            <w:vAlign w:val="center"/>
          </w:tcPr>
          <w:p w14:paraId="5869E98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705</w:t>
            </w:r>
          </w:p>
        </w:tc>
        <w:tc>
          <w:tcPr>
            <w:tcW w:w="1048" w:type="dxa"/>
            <w:vAlign w:val="center"/>
          </w:tcPr>
          <w:p w14:paraId="724AC6A8">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bCs/>
                <w:color w:val="auto"/>
                <w:kern w:val="30"/>
                <w:sz w:val="24"/>
                <w:szCs w:val="24"/>
                <w:vertAlign w:val="baseline"/>
                <w:lang w:val="en-US" w:eastAsia="zh-CN" w:bidi="ar-SA"/>
              </w:rPr>
            </w:pPr>
            <w:r>
              <w:rPr>
                <w:rFonts w:hint="eastAsia" w:ascii="Times New Roman" w:hAnsi="Times New Roman" w:eastAsia="方正仿宋_GBK" w:cs="Times New Roman"/>
                <w:b/>
                <w:bCs/>
                <w:color w:val="auto"/>
                <w:sz w:val="24"/>
                <w:szCs w:val="24"/>
                <w:vertAlign w:val="baseline"/>
                <w:lang w:val="en-US" w:eastAsia="zh-CN"/>
              </w:rPr>
              <w:t>18.15</w:t>
            </w:r>
          </w:p>
        </w:tc>
        <w:tc>
          <w:tcPr>
            <w:tcW w:w="1257" w:type="dxa"/>
            <w:vAlign w:val="center"/>
          </w:tcPr>
          <w:p w14:paraId="1715222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仿宋_GBK" w:cs="Times New Roman"/>
                <w:b/>
                <w:bCs/>
                <w:color w:val="auto"/>
                <w:kern w:val="30"/>
                <w:sz w:val="24"/>
                <w:szCs w:val="24"/>
                <w:vertAlign w:val="baseline"/>
                <w:lang w:val="en-US" w:eastAsia="zh-CN" w:bidi="ar-SA"/>
              </w:rPr>
            </w:pPr>
            <w:r>
              <w:rPr>
                <w:rFonts w:hint="eastAsia" w:ascii="Times New Roman" w:hAnsi="Times New Roman" w:eastAsia="方正仿宋_GBK" w:cs="Times New Roman"/>
                <w:b/>
                <w:bCs/>
                <w:color w:val="auto"/>
                <w:sz w:val="24"/>
                <w:szCs w:val="24"/>
                <w:vertAlign w:val="baseline"/>
                <w:lang w:val="en-US" w:eastAsia="zh-CN"/>
              </w:rPr>
              <w:t>30</w:t>
            </w:r>
          </w:p>
        </w:tc>
        <w:tc>
          <w:tcPr>
            <w:tcW w:w="1063" w:type="dxa"/>
            <w:vAlign w:val="center"/>
          </w:tcPr>
          <w:p w14:paraId="5486847E">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120</w:t>
            </w:r>
          </w:p>
        </w:tc>
        <w:tc>
          <w:tcPr>
            <w:tcW w:w="1414" w:type="dxa"/>
            <w:vAlign w:val="center"/>
          </w:tcPr>
          <w:p w14:paraId="37A28DEA">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4"/>
                <w:szCs w:val="24"/>
                <w:vertAlign w:val="baseline"/>
                <w:lang w:val="en-US" w:eastAsia="zh-CN"/>
              </w:rPr>
            </w:pPr>
            <w:r>
              <w:rPr>
                <w:rFonts w:hint="eastAsia" w:ascii="Times New Roman" w:hAnsi="Times New Roman" w:eastAsia="方正仿宋_GBK" w:cs="Times New Roman"/>
                <w:b/>
                <w:bCs/>
                <w:color w:val="auto"/>
                <w:sz w:val="24"/>
                <w:szCs w:val="24"/>
                <w:vertAlign w:val="baseline"/>
                <w:lang w:val="en-US" w:eastAsia="zh-CN"/>
              </w:rPr>
              <w:t>50</w:t>
            </w:r>
          </w:p>
        </w:tc>
        <w:tc>
          <w:tcPr>
            <w:tcW w:w="918" w:type="dxa"/>
            <w:vAlign w:val="center"/>
          </w:tcPr>
          <w:p w14:paraId="32E3BAC7">
            <w:pPr>
              <w:pStyle w:val="10"/>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仿宋_GBK" w:cs="Times New Roman"/>
                <w:b/>
                <w:bCs/>
                <w:color w:val="auto"/>
                <w:sz w:val="21"/>
                <w:szCs w:val="21"/>
                <w:vertAlign w:val="baseline"/>
                <w:lang w:val="en-US" w:eastAsia="zh-CN"/>
              </w:rPr>
            </w:pPr>
            <w:r>
              <w:rPr>
                <w:rFonts w:hint="eastAsia" w:ascii="Times New Roman" w:hAnsi="Times New Roman" w:eastAsia="方正仿宋_GBK" w:cs="Times New Roman"/>
                <w:b/>
                <w:bCs/>
                <w:color w:val="auto"/>
                <w:sz w:val="21"/>
                <w:szCs w:val="21"/>
                <w:vertAlign w:val="baseline"/>
                <w:lang w:val="en-US" w:eastAsia="zh-CN"/>
              </w:rPr>
              <w:t>1441.15</w:t>
            </w:r>
          </w:p>
        </w:tc>
      </w:tr>
    </w:tbl>
    <w:p w14:paraId="4D063B3E">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eastAsia="zh-CN"/>
        </w:rPr>
        <w:t>项目实施计划</w:t>
      </w:r>
      <w:r>
        <w:rPr>
          <w:rFonts w:hint="default" w:ascii="Times New Roman" w:hAnsi="Times New Roman" w:eastAsia="方正黑体_GBK" w:cs="Times New Roman"/>
          <w:color w:val="auto"/>
          <w:kern w:val="0"/>
          <w:sz w:val="32"/>
          <w:szCs w:val="32"/>
          <w:highlight w:val="none"/>
          <w:lang w:val="en-US" w:eastAsia="zh-CN"/>
        </w:rPr>
        <w:t xml:space="preserve">  </w:t>
      </w:r>
    </w:p>
    <w:p w14:paraId="524FD589">
      <w:pPr>
        <w:pStyle w:val="3"/>
        <w:keepNext w:val="0"/>
        <w:keepLines w:val="0"/>
        <w:pageBreakBefore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kern w:val="0"/>
          <w:sz w:val="28"/>
          <w:szCs w:val="28"/>
          <w:highlight w:val="none"/>
          <w:lang w:eastAsia="zh-CN"/>
        </w:rPr>
      </w:pPr>
      <w:r>
        <w:rPr>
          <w:rFonts w:hint="eastAsia" w:ascii="方正仿宋_GBK" w:hAnsi="方正仿宋_GBK" w:eastAsia="方正仿宋_GBK" w:cs="方正仿宋_GBK"/>
          <w:b w:val="0"/>
          <w:bCs w:val="0"/>
          <w:kern w:val="2"/>
          <w:sz w:val="32"/>
          <w:szCs w:val="32"/>
          <w:lang w:val="en-US" w:eastAsia="zh-CN" w:bidi="ar-SA"/>
        </w:rPr>
        <w:t>经市财政局审核同意后报经市政府批准按季度分配下拨到各县（市、区）财政局、民政局。</w:t>
      </w:r>
      <w:r>
        <w:rPr>
          <w:rFonts w:hint="eastAsia" w:ascii="方正仿宋_GBK" w:hAnsi="方正仿宋_GBK" w:eastAsia="方正仿宋_GBK" w:cs="方正仿宋_GBK"/>
          <w:color w:val="auto"/>
          <w:kern w:val="0"/>
          <w:sz w:val="32"/>
          <w:szCs w:val="32"/>
          <w:highlight w:val="none"/>
          <w:lang w:val="en-US" w:eastAsia="zh-CN"/>
        </w:rPr>
        <w:t xml:space="preserve"> </w:t>
      </w:r>
      <w:r>
        <w:rPr>
          <w:rFonts w:hint="default" w:ascii="Times New Roman" w:hAnsi="Times New Roman" w:eastAsia="黑体" w:cs="Times New Roman"/>
          <w:color w:val="auto"/>
          <w:kern w:val="0"/>
          <w:sz w:val="32"/>
          <w:szCs w:val="32"/>
          <w:highlight w:val="none"/>
          <w:lang w:val="en-US" w:eastAsia="zh-CN"/>
        </w:rPr>
        <w:t xml:space="preserve">    </w:t>
      </w:r>
    </w:p>
    <w:p w14:paraId="107787F2">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rightChars="0" w:firstLine="640" w:firstLineChars="200"/>
        <w:jc w:val="left"/>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color w:val="auto"/>
          <w:kern w:val="0"/>
          <w:sz w:val="32"/>
          <w:szCs w:val="32"/>
          <w:highlight w:val="none"/>
          <w:lang w:eastAsia="zh-CN"/>
        </w:rPr>
        <w:t>八、项目实施成效</w:t>
      </w:r>
    </w:p>
    <w:p w14:paraId="00287DF8">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进一步健全完善玉溪市居家养老、社区养老、机构养老、医养康养相结合的养老服务体系，建立布局合理、设施完善、服务便捷的覆盖全市的殡葬服务设施网络，引导社会力量积极参与社会服务，促进全市社会福利事业发展。</w:t>
      </w:r>
    </w:p>
    <w:sectPr>
      <w:headerReference r:id="rId3" w:type="default"/>
      <w:footerReference r:id="rId5" w:type="default"/>
      <w:headerReference r:id="rId4" w:type="even"/>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4813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20C710">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20C710">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3406A">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525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5EBBA"/>
    <w:multiLevelType w:val="singleLevel"/>
    <w:tmpl w:val="0275EBB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10765"/>
    <w:rsid w:val="018E5F66"/>
    <w:rsid w:val="04BC682D"/>
    <w:rsid w:val="04FE2086"/>
    <w:rsid w:val="0B5A7BE7"/>
    <w:rsid w:val="0CA7368F"/>
    <w:rsid w:val="0F46340F"/>
    <w:rsid w:val="11212889"/>
    <w:rsid w:val="14704D63"/>
    <w:rsid w:val="1B8C23B0"/>
    <w:rsid w:val="234B7BBB"/>
    <w:rsid w:val="27414F8B"/>
    <w:rsid w:val="27810765"/>
    <w:rsid w:val="2E171BCE"/>
    <w:rsid w:val="2E27308F"/>
    <w:rsid w:val="356537D8"/>
    <w:rsid w:val="44DE7926"/>
    <w:rsid w:val="47357916"/>
    <w:rsid w:val="479E4149"/>
    <w:rsid w:val="4ADB5D64"/>
    <w:rsid w:val="4C391FD5"/>
    <w:rsid w:val="4DA04ACC"/>
    <w:rsid w:val="57D769FC"/>
    <w:rsid w:val="5DFFF8EC"/>
    <w:rsid w:val="5EE6778C"/>
    <w:rsid w:val="64CD4BB1"/>
    <w:rsid w:val="65F50BBA"/>
    <w:rsid w:val="67783644"/>
    <w:rsid w:val="6EDB0567"/>
    <w:rsid w:val="73123296"/>
    <w:rsid w:val="77A21F57"/>
    <w:rsid w:val="9FD710E9"/>
    <w:rsid w:val="FFFFC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ind w:firstLine="150" w:firstLineChars="150"/>
      <w:outlineLvl w:val="1"/>
    </w:pPr>
    <w:rPr>
      <w:rFonts w:ascii="Cambria" w:hAnsi="Cambria" w:eastAsia="仿宋_GB2312" w:cs="Cambria"/>
      <w:b/>
      <w:bC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行间距"/>
    <w:basedOn w:val="1"/>
    <w:qFormat/>
    <w:uiPriority w:val="0"/>
    <w:pPr>
      <w:spacing w:line="579" w:lineRule="exact"/>
      <w:ind w:firstLine="600" w:firstLineChars="200"/>
    </w:pPr>
    <w:rPr>
      <w:rFonts w:ascii="仿宋" w:hAnsi="仿宋" w:eastAsia="仿宋" w:cs="Times New Roman"/>
      <w:kern w:val="30"/>
      <w:sz w:val="30"/>
      <w:szCs w:val="30"/>
    </w:rPr>
  </w:style>
  <w:style w:type="character" w:customStyle="1" w:styleId="11">
    <w:name w:val="ca-32"/>
    <w:qFormat/>
    <w:uiPriority w:val="0"/>
    <w:rPr>
      <w:rFonts w:ascii="Times New Roman" w:hAnsi="Times New Roman" w:eastAsia="宋体" w:cs="Times New Roman"/>
    </w:rPr>
  </w:style>
  <w:style w:type="character" w:customStyle="1" w:styleId="12">
    <w:name w:val="font11"/>
    <w:basedOn w:val="8"/>
    <w:qFormat/>
    <w:uiPriority w:val="0"/>
    <w:rPr>
      <w:rFonts w:ascii="方正仿宋_GBK" w:hAnsi="方正仿宋_GBK" w:eastAsia="方正仿宋_GBK" w:cs="方正仿宋_GBK"/>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4</Pages>
  <Words>1055</Words>
  <Characters>1224</Characters>
  <Lines>0</Lines>
  <Paragraphs>0</Paragraphs>
  <TotalTime>8</TotalTime>
  <ScaleCrop>false</ScaleCrop>
  <LinksUpToDate>false</LinksUpToDate>
  <CharactersWithSpaces>1248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2021-01-29T09:19:00Z</dcterms:created>
  <dc:creator>Administrator</dc:creator>
  <cp:lastModifiedBy>敖丽平</cp:lastModifiedBy>
  <dcterms:modified xsi:type="dcterms:W3CDTF">2025-02-19T08:18:36Z</dcterms:modified>
  <dc:title>玉溪市民政局2021年预算重点领域财政项目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4E774E8330ED45779F4CBE39718E4EBF_12</vt:lpwstr>
  </property>
</Properties>
</file>