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lang w:eastAsia="zh-CN"/>
        </w:rPr>
        <w:t>玉溪市科学技术局</w:t>
      </w:r>
      <w:r>
        <w:rPr>
          <w:rFonts w:hint="eastAsia" w:ascii="方正小标宋_GBK" w:hAnsi="方正小标宋_GBK" w:eastAsia="方正小标宋_GBK" w:cs="方正小标宋_GBK"/>
          <w:sz w:val="44"/>
          <w:szCs w:val="44"/>
          <w:lang w:val="en-US" w:eastAsia="zh-CN"/>
        </w:rPr>
        <w:t>(本级)</w:t>
      </w: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color w:val="auto"/>
          <w:spacing w:val="14"/>
          <w:sz w:val="44"/>
          <w:szCs w:val="44"/>
          <w:highlight w:val="none"/>
          <w:lang w:val="en-US" w:eastAsia="zh-CN"/>
        </w:rPr>
        <w:t>预算重点领域财政项目文本公开</w:t>
      </w:r>
    </w:p>
    <w:p>
      <w:pPr>
        <w:pStyle w:val="15"/>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（一）项目名称:</w:t>
      </w:r>
      <w:r>
        <w:rPr>
          <w:rFonts w:hint="eastAsia" w:ascii="方正仿宋_GBK" w:hAnsi="方正仿宋_GBK" w:eastAsia="方正仿宋_GBK" w:cs="方正仿宋_GBK"/>
          <w:sz w:val="32"/>
          <w:szCs w:val="32"/>
          <w:lang w:val="en-US" w:eastAsia="zh-CN"/>
        </w:rPr>
        <w:t>市</w:t>
      </w:r>
      <w:r>
        <w:rPr>
          <w:rFonts w:hint="eastAsia" w:ascii="Times New Roman" w:hAnsi="Times New Roman" w:eastAsia="方正仿宋_GBK" w:cs="Times New Roman"/>
          <w:b w:val="0"/>
          <w:bCs w:val="0"/>
          <w:color w:val="auto"/>
          <w:kern w:val="0"/>
          <w:sz w:val="32"/>
          <w:szCs w:val="32"/>
          <w:highlight w:val="none"/>
          <w:lang w:val="en-US" w:eastAsia="zh-CN" w:bidi="zh-CN"/>
        </w:rPr>
        <w:t>级研发服务平台建设补助资金项目。主要包括重点实验室/工程技术研究中心、公共技术服务平台数、新型研发发机构数、产业技术研究院等4种平台类型。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项目</w:t>
      </w:r>
      <w:r>
        <w:rPr>
          <w:rFonts w:hint="eastAsia" w:ascii="方正楷体_GBK" w:hAnsi="方正楷体_GBK" w:eastAsia="方正楷体_GBK" w:cs="方正楷体_GBK"/>
          <w:sz w:val="32"/>
          <w:szCs w:val="32"/>
          <w:lang w:eastAsia="zh-CN"/>
        </w:rPr>
        <w:t>背景：</w:t>
      </w:r>
      <w:r>
        <w:rPr>
          <w:rFonts w:hint="eastAsia" w:ascii="Times New Roman" w:hAnsi="Times New Roman" w:eastAsia="方正仿宋_GBK" w:cs="Times New Roman"/>
          <w:b w:val="0"/>
          <w:bCs w:val="0"/>
          <w:color w:val="auto"/>
          <w:kern w:val="0"/>
          <w:sz w:val="32"/>
          <w:szCs w:val="32"/>
          <w:highlight w:val="none"/>
          <w:lang w:val="en-US" w:eastAsia="zh-CN" w:bidi="zh-CN"/>
        </w:rPr>
        <w:t>为进一步提高科技创新服务能力，更好地服务产业发展，“十四五”期间，国家、省进一步加大以“重点实验室”为重点的</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研发服务平台建设</w:t>
      </w:r>
      <w:r>
        <w:rPr>
          <w:rFonts w:hint="eastAsia" w:ascii="Times New Roman" w:hAnsi="Times New Roman" w:eastAsia="方正仿宋_GBK" w:cs="Times New Roman"/>
          <w:b w:val="0"/>
          <w:bCs w:val="0"/>
          <w:color w:val="auto"/>
          <w:kern w:val="0"/>
          <w:sz w:val="32"/>
          <w:szCs w:val="32"/>
          <w:highlight w:val="none"/>
          <w:lang w:val="en-US" w:eastAsia="zh-CN" w:bidi="zh-CN"/>
        </w:rPr>
        <w:t>。玉溪自2009年按照《玉溪市重点实验室及行业技术中心认定与管理暂行办法》（玉政办发〔2009〕77号）开展研发平台建设以来，截止2023年，共建成8个省级工程技术研究中心、2个省级重点实验室，3个机构入选云南省新型研发机构培育对象。建成60个市级工程技术中心、15个市级重点实验室、1家市级</w:t>
      </w:r>
      <w:r>
        <w:rPr>
          <w:rFonts w:hint="default" w:ascii="Times New Roman" w:hAnsi="Times New Roman" w:eastAsia="方正仿宋_GBK" w:cs="Times New Roman"/>
          <w:b w:val="0"/>
          <w:bCs w:val="0"/>
          <w:color w:val="auto"/>
          <w:kern w:val="0"/>
          <w:sz w:val="32"/>
          <w:szCs w:val="32"/>
          <w:highlight w:val="none"/>
          <w:lang w:val="en-US" w:eastAsia="zh-CN" w:bidi="zh-CN"/>
        </w:rPr>
        <w:t>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1家市级新型研发机、6个市级公共技术服务平台。2022年，市委市政府新出台政策加大对市级研发服务平台建设的扶持，按照《玉溪市“兴玉英才支持计划”实施办法》（玉党人才〔2022〕1号）《玉溪市科技创新平台建设专项实施细则（试行）》（玉党人才〔2022〕9号）,对新认定的市级研发服务平台进行补助。开展</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认定是玉溪市科技创新体系建设的重要组成部分，以进一步促进科技创新平台提质增效，提高创新和产业发展服务能力，更好地支撑产业、服务玉溪经济社会发展。</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eastAsia="方正黑体_GBK"/>
          <w:lang w:val="en-US" w:eastAsia="zh-CN"/>
        </w:rPr>
      </w:pPr>
      <w:r>
        <w:rPr>
          <w:rFonts w:hint="eastAsia" w:ascii="方正黑体_GBK" w:hAnsi="方正黑体_GBK" w:eastAsia="方正黑体_GBK" w:cs="方正黑体_GBK"/>
          <w:b/>
          <w:bCs/>
          <w:sz w:val="32"/>
          <w:szCs w:val="32"/>
          <w:lang w:eastAsia="zh-CN"/>
        </w:rPr>
        <w:t>二</w:t>
      </w:r>
      <w:r>
        <w:rPr>
          <w:rFonts w:hint="eastAsia" w:ascii="方正黑体_GBK" w:hAnsi="方正黑体_GBK" w:eastAsia="方正黑体_GBK" w:cs="方正黑体_GBK"/>
          <w:b/>
          <w:bCs/>
          <w:sz w:val="32"/>
          <w:szCs w:val="32"/>
        </w:rPr>
        <w:t>、项目</w:t>
      </w:r>
      <w:r>
        <w:rPr>
          <w:rFonts w:hint="eastAsia" w:ascii="方正黑体_GBK" w:hAnsi="方正黑体_GBK" w:eastAsia="方正黑体_GBK" w:cs="方正黑体_GBK"/>
          <w:b/>
          <w:bCs/>
          <w:sz w:val="32"/>
          <w:szCs w:val="32"/>
          <w:lang w:eastAsia="zh-CN"/>
        </w:rPr>
        <w:t>组织机构</w:t>
      </w:r>
    </w:p>
    <w:p>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Style w:val="14"/>
          <w:rFonts w:hint="eastAsia" w:ascii="Times New Roman" w:hAnsi="Times New Roman" w:eastAsia="方正仿宋_GBK" w:cs="Times New Roman"/>
          <w:b w:val="0"/>
          <w:sz w:val="32"/>
          <w:szCs w:val="32"/>
          <w:lang w:eastAsia="zh-CN"/>
        </w:rPr>
        <w:t>玉溪市科学技术局</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bCs/>
          <w:sz w:val="32"/>
          <w:szCs w:val="32"/>
          <w:lang w:val="en-US" w:eastAsia="zh-CN"/>
        </w:rPr>
        <w:t>三、项目开展时间</w:t>
      </w:r>
    </w:p>
    <w:p>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2022年、2023、2024年每年1月至3月组织各县区科技管理部门按《玉溪市科技创新平台建设专项实施细则（试行）》（玉党人才〔2022〕9号）和相关专项申报通知推荐符合条件的平台进行申报。3月至6月对申报单位进行实地调研。7月至9月组织开展评审认定工作。10月至12月对通过认定的市级平台按程序上报预算纳入市级财政补助项目，进入市级平台管理。</w:t>
      </w:r>
    </w:p>
    <w:p>
      <w:pPr>
        <w:pStyle w:val="6"/>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方正黑体_GBK" w:hAnsi="方正黑体_GBK" w:eastAsia="方正黑体_GBK" w:cs="方正黑体_GBK"/>
          <w:b/>
          <w:bCs/>
          <w:kern w:val="2"/>
          <w:sz w:val="32"/>
          <w:szCs w:val="32"/>
          <w:lang w:val="en-US" w:eastAsia="zh-CN" w:bidi="ar-SA"/>
        </w:rPr>
        <w:t>四、项目资金安排</w:t>
      </w:r>
    </w:p>
    <w:p>
      <w:pPr>
        <w:pStyle w:val="6"/>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2024年市级研发服务平台项目应补助资金合计718.88万元。2025年预算项目财政补助资金50万元，其中市本级26万元，对下转移支付24万元（红塔区 6万元,华宁县 4万元，易门县2万元，元江县4万元，新平县2万元，高新技术开发区6万元）。详见2025年市级研发服务平台补助资金明细表：</w:t>
      </w:r>
    </w:p>
    <w:tbl>
      <w:tblPr>
        <w:tblStyle w:val="11"/>
        <w:tblW w:w="99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2734"/>
        <w:gridCol w:w="2343"/>
        <w:gridCol w:w="1100"/>
        <w:gridCol w:w="917"/>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9955" w:type="dxa"/>
            <w:gridSpan w:val="6"/>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bottom"/>
              <w:rPr>
                <w:rFonts w:ascii="方正书宋_GBK" w:hAnsi="方正书宋_GBK" w:eastAsia="方正书宋_GBK" w:cs="方正书宋_GBK"/>
                <w:b/>
                <w:i w:val="0"/>
                <w:color w:val="000000"/>
                <w:sz w:val="32"/>
                <w:szCs w:val="32"/>
                <w:u w:val="none"/>
              </w:rPr>
            </w:pPr>
            <w:r>
              <w:rPr>
                <w:rFonts w:hint="eastAsia" w:ascii="方正书宋_GBK" w:hAnsi="方正书宋_GBK" w:eastAsia="方正书宋_GBK" w:cs="方正书宋_GBK"/>
                <w:b/>
                <w:i w:val="0"/>
                <w:color w:val="000000"/>
                <w:kern w:val="0"/>
                <w:sz w:val="24"/>
                <w:szCs w:val="24"/>
                <w:u w:val="none"/>
                <w:lang w:val="en-US" w:eastAsia="zh-CN" w:bidi="ar"/>
              </w:rPr>
              <w:t>2025年市级研发服务平台补助资金明细表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728" w:type="dxa"/>
            <w:tcBorders>
              <w:top w:val="single" w:color="000000" w:sz="4" w:space="0"/>
              <w:left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所属</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县区</w:t>
            </w:r>
          </w:p>
        </w:tc>
        <w:tc>
          <w:tcPr>
            <w:tcW w:w="2734" w:type="dxa"/>
            <w:tcBorders>
              <w:top w:val="single" w:color="000000" w:sz="4" w:space="0"/>
              <w:left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项目名称</w:t>
            </w:r>
          </w:p>
        </w:tc>
        <w:tc>
          <w:tcPr>
            <w:tcW w:w="2343" w:type="dxa"/>
            <w:tcBorders>
              <w:top w:val="single" w:color="000000" w:sz="4" w:space="0"/>
              <w:left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申报单位</w:t>
            </w:r>
          </w:p>
        </w:tc>
        <w:tc>
          <w:tcPr>
            <w:tcW w:w="1100" w:type="dxa"/>
            <w:tcBorders>
              <w:top w:val="single" w:color="000000" w:sz="4" w:space="0"/>
              <w:left w:val="single" w:color="000000" w:sz="4" w:space="0"/>
              <w:bottom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2024年资金</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（万元）</w:t>
            </w:r>
          </w:p>
        </w:tc>
        <w:tc>
          <w:tcPr>
            <w:tcW w:w="917" w:type="dxa"/>
            <w:tcBorders>
              <w:top w:val="single" w:color="000000" w:sz="4" w:space="0"/>
              <w:left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2025年财政补助（万元）</w:t>
            </w:r>
          </w:p>
        </w:tc>
        <w:tc>
          <w:tcPr>
            <w:tcW w:w="2133" w:type="dxa"/>
            <w:tcBorders>
              <w:top w:val="single" w:color="000000" w:sz="4" w:space="0"/>
              <w:left w:val="single" w:color="000000" w:sz="4" w:space="0"/>
              <w:right w:val="single" w:color="000000" w:sz="4" w:space="0"/>
            </w:tcBorders>
            <w:shd w:val="clear" w:color="auto" w:fill="F0F0F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color w:val="000000"/>
                <w:kern w:val="0"/>
                <w:sz w:val="16"/>
                <w:szCs w:val="16"/>
                <w:u w:val="none"/>
                <w:lang w:val="en-US" w:eastAsia="zh-CN" w:bidi="ar"/>
              </w:rPr>
            </w:pPr>
            <w:r>
              <w:rPr>
                <w:rFonts w:hint="eastAsia" w:ascii="宋体" w:hAnsi="宋体" w:eastAsia="宋体" w:cs="宋体"/>
                <w:b/>
                <w:bCs/>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玉溪市产品质量快速检测重点实验室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玉溪师范学院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玉溪市心血管疾病风险研究重点实验室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玉溪市精神健康专科测查重点实验室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玉溪市第二人民医院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玉溪市花卉种质资源保存和创新利用重点实验室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玉溪市草腐生菌良种繁育重点实验室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玉溪农业职业技术学院（共建：上海市农业科学院）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玉溪市铼和铂族金属绿色化学分离及低维纳米材料合成重点实验室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玉溪市骨代谢疾病研究重点实验室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玉溪市化石遗产研究与保护重点实验室</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玉溪市互联网医疗（智慧医疗）工程技术研究中心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玉溪市人民医院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2022年认定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玉溪师范学院服务地方分析检测公共技术平台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玉溪师范学院</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玉溪市检验检测公共技术服务平台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玉溪市质量技术监督综合检测中心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玉溪市建设工程质量检测中心</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35.00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2023年认定，建设经费25万元、第一年运营补助5万元、第二年运营补贴5万元，合计35万元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市直</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玉溪市生态环境检测公共技术服务平台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云南省生态环境厅驻玉溪市生态环境监测站</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default" w:ascii="宋体" w:hAnsi="宋体" w:eastAsia="宋体" w:cs="宋体"/>
                <w:i w:val="0"/>
                <w:color w:val="auto"/>
                <w:kern w:val="0"/>
                <w:sz w:val="16"/>
                <w:szCs w:val="16"/>
                <w:u w:val="none"/>
                <w:lang w:val="en-US" w:eastAsia="zh-CN" w:bidi="ar"/>
              </w:rPr>
              <w:t>3</w:t>
            </w:r>
            <w:r>
              <w:rPr>
                <w:rFonts w:hint="eastAsia" w:ascii="宋体" w:hAnsi="宋体" w:eastAsia="宋体" w:cs="宋体"/>
                <w:i w:val="0"/>
                <w:color w:val="auto"/>
                <w:kern w:val="0"/>
                <w:sz w:val="16"/>
                <w:szCs w:val="16"/>
                <w:u w:val="none"/>
                <w:lang w:val="en-US" w:eastAsia="zh-CN" w:bidi="ar"/>
              </w:rPr>
              <w:t>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2024年认定，建设经费25万元、运营补助5万元，合计30万元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小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lef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325.00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cs="宋体"/>
                <w:i w:val="0"/>
                <w:color w:val="auto"/>
                <w:kern w:val="0"/>
                <w:sz w:val="16"/>
                <w:szCs w:val="16"/>
                <w:u w:val="none"/>
                <w:lang w:val="en-US" w:eastAsia="zh-CN" w:bidi="ar"/>
              </w:rPr>
              <w:t>26.00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val="0"/>
                <w:i w:val="0"/>
                <w:color w:val="auto"/>
                <w:kern w:val="0"/>
                <w:sz w:val="16"/>
                <w:szCs w:val="16"/>
                <w:u w:val="none"/>
                <w:lang w:val="en-US" w:eastAsia="zh-CN" w:bidi="ar"/>
              </w:rPr>
            </w:pPr>
            <w:r>
              <w:rPr>
                <w:rFonts w:hint="eastAsia" w:ascii="宋体" w:hAnsi="宋体" w:eastAsia="宋体" w:cs="宋体"/>
                <w:b/>
                <w:bCs w:val="0"/>
                <w:i w:val="0"/>
                <w:color w:val="auto"/>
                <w:kern w:val="0"/>
                <w:sz w:val="16"/>
                <w:szCs w:val="16"/>
                <w:u w:val="none"/>
                <w:lang w:val="en-US" w:eastAsia="zh-CN" w:bidi="ar"/>
              </w:rPr>
              <w:t>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玉溪市柑橘种植工程技术研究中心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新平褚氏农业有限公司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玉溪市绿色高性能混凝土工程技术研究中心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 xml:space="preserve">云南建投玉溪建材有限公司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玉溪市果蔬汁深加工工程技术研究中心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云南果研社农业科技发展有限公司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2024年认定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玉溪市樱花种苗工程技术研究中心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云南万家红园艺有限公司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易门县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玉溪市贵金属催化材料和应用工程技术研究中心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贵研工业催化剂（云南）有限公司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2023年认定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华宁县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玉溪市中药配方颗粒工程技术研究中心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鸿翔中药科技有限责任公司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元江县</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玉溪市普洱茶醋工程技术研究中心</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云南康福茶叶有限公司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20.00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电可维智慧电务平台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云南玉溪中汇电力设备有限责任公司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中小型水力发电公共技术服务平台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玉溪水力发电代表有限责任公司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玉溪市智慧政务应用公共技术服务平台</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云南永兴元科技有限公司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40.00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2022年认定，建设经费25万元、运营补贴15万元，合计40万元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高新区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玉溪市新型研发机构——玉溪晨兴矿冶科技开发有限公司</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玉溪晨兴矿冶科技开发有限公司</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31.20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2022年认定新型研发机构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红塔区</w:t>
            </w:r>
          </w:p>
        </w:tc>
        <w:tc>
          <w:tcPr>
            <w:tcW w:w="2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加热烟草卷烟芯材及辅材产业技术研究院</w:t>
            </w:r>
          </w:p>
        </w:tc>
        <w:tc>
          <w:tcPr>
            <w:tcW w:w="2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中烟施伟策（云南）再造烟叶有限公司等</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color w:val="auto"/>
                <w:sz w:val="16"/>
                <w:szCs w:val="16"/>
                <w:u w:val="none"/>
                <w:lang w:val="en-US" w:eastAsia="zh-CN"/>
              </w:rPr>
            </w:pPr>
            <w:r>
              <w:rPr>
                <w:rFonts w:hint="eastAsia" w:ascii="宋体" w:hAnsi="宋体" w:cs="宋体"/>
                <w:i w:val="0"/>
                <w:color w:val="auto"/>
                <w:sz w:val="16"/>
                <w:szCs w:val="16"/>
                <w:u w:val="none"/>
                <w:lang w:val="en-US" w:eastAsia="zh-CN"/>
              </w:rPr>
              <w:t>102.68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w:t>
            </w:r>
            <w:r>
              <w:rPr>
                <w:rFonts w:hint="eastAsia" w:ascii="宋体" w:hAnsi="宋体" w:cs="宋体"/>
                <w:i w:val="0"/>
                <w:color w:val="auto"/>
                <w:kern w:val="0"/>
                <w:sz w:val="16"/>
                <w:szCs w:val="16"/>
                <w:u w:val="none"/>
                <w:lang w:val="en-US" w:eastAsia="zh-CN" w:bidi="ar"/>
              </w:rPr>
              <w:t>.00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2022年认定，第一年运行补助费30万元；第二年运行补助费30万元，新增科研仪器设备费用补助5.99万元</w:t>
            </w:r>
            <w:r>
              <w:rPr>
                <w:rFonts w:hint="eastAsia" w:eastAsia="宋体" w:cs="宋体"/>
                <w:i w:val="0"/>
                <w:color w:val="auto"/>
                <w:kern w:val="0"/>
                <w:sz w:val="16"/>
                <w:szCs w:val="16"/>
                <w:u w:val="none"/>
                <w:lang w:val="en-US" w:eastAsia="zh-CN" w:bidi="ar"/>
              </w:rPr>
              <w:t>；</w:t>
            </w:r>
            <w:r>
              <w:rPr>
                <w:rFonts w:hint="eastAsia" w:ascii="宋体" w:hAnsi="宋体" w:eastAsia="宋体" w:cs="宋体"/>
                <w:i w:val="0"/>
                <w:color w:val="auto"/>
                <w:kern w:val="0"/>
                <w:sz w:val="16"/>
                <w:szCs w:val="16"/>
                <w:u w:val="none"/>
                <w:lang w:val="en-US" w:eastAsia="zh-CN" w:bidi="ar"/>
              </w:rPr>
              <w:t>第三年运行补助费30万元，新增科研仪器设备费用补助6.69万元。合计</w:t>
            </w:r>
            <w:r>
              <w:rPr>
                <w:rFonts w:hint="eastAsia" w:eastAsia="宋体" w:cs="宋体"/>
                <w:i w:val="0"/>
                <w:color w:val="auto"/>
                <w:kern w:val="0"/>
                <w:sz w:val="16"/>
                <w:szCs w:val="16"/>
                <w:u w:val="none"/>
                <w:lang w:val="en-US" w:eastAsia="zh-CN" w:bidi="ar"/>
              </w:rPr>
              <w:t>102</w:t>
            </w:r>
            <w:r>
              <w:rPr>
                <w:rFonts w:hint="eastAsia" w:ascii="宋体" w:hAnsi="宋体" w:eastAsia="宋体" w:cs="宋体"/>
                <w:i w:val="0"/>
                <w:color w:val="auto"/>
                <w:kern w:val="0"/>
                <w:sz w:val="16"/>
                <w:szCs w:val="16"/>
                <w:u w:val="none"/>
                <w:lang w:val="en-US" w:eastAsia="zh-CN" w:bidi="ar"/>
              </w:rPr>
              <w:t>.</w:t>
            </w:r>
            <w:r>
              <w:rPr>
                <w:rFonts w:hint="eastAsia" w:eastAsia="宋体" w:cs="宋体"/>
                <w:i w:val="0"/>
                <w:color w:val="auto"/>
                <w:kern w:val="0"/>
                <w:sz w:val="16"/>
                <w:szCs w:val="16"/>
                <w:u w:val="none"/>
                <w:lang w:val="en-US" w:eastAsia="zh-CN" w:bidi="ar"/>
              </w:rPr>
              <w:t>68</w:t>
            </w:r>
            <w:r>
              <w:rPr>
                <w:rFonts w:hint="eastAsia" w:ascii="宋体" w:hAnsi="宋体" w:eastAsia="宋体" w:cs="宋体"/>
                <w:i w:val="0"/>
                <w:color w:val="auto"/>
                <w:kern w:val="0"/>
                <w:sz w:val="16"/>
                <w:szCs w:val="16"/>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bCs w:val="0"/>
                <w:i w:val="0"/>
                <w:color w:val="auto"/>
                <w:sz w:val="16"/>
                <w:szCs w:val="16"/>
                <w:u w:val="none"/>
                <w:lang w:eastAsia="zh-CN"/>
              </w:rPr>
            </w:pPr>
            <w:r>
              <w:rPr>
                <w:rFonts w:hint="eastAsia" w:ascii="宋体" w:hAnsi="宋体" w:eastAsia="宋体" w:cs="宋体"/>
                <w:b/>
                <w:bCs w:val="0"/>
                <w:i w:val="0"/>
                <w:color w:val="auto"/>
                <w:sz w:val="16"/>
                <w:szCs w:val="16"/>
                <w:u w:val="none"/>
                <w:lang w:eastAsia="zh-CN"/>
              </w:rPr>
              <w:t>小</w:t>
            </w:r>
            <w:r>
              <w:rPr>
                <w:rFonts w:hint="eastAsia" w:ascii="宋体" w:hAnsi="宋体" w:eastAsia="宋体" w:cs="宋体"/>
                <w:b/>
                <w:bCs w:val="0"/>
                <w:i w:val="0"/>
                <w:color w:val="auto"/>
                <w:sz w:val="16"/>
                <w:szCs w:val="16"/>
                <w:u w:val="none"/>
                <w:lang w:val="en-US" w:eastAsia="zh-CN"/>
              </w:rPr>
              <w:t xml:space="preserve">  </w:t>
            </w:r>
            <w:r>
              <w:rPr>
                <w:rFonts w:hint="eastAsia" w:ascii="宋体" w:hAnsi="宋体" w:eastAsia="宋体" w:cs="宋体"/>
                <w:b/>
                <w:bCs w:val="0"/>
                <w:i w:val="0"/>
                <w:color w:val="auto"/>
                <w:sz w:val="16"/>
                <w:szCs w:val="16"/>
                <w:u w:val="none"/>
                <w:lang w:eastAsia="zh-CN"/>
              </w:rPr>
              <w:t>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b/>
                <w:bCs w:val="0"/>
                <w:i w:val="0"/>
                <w:color w:val="auto"/>
                <w:sz w:val="16"/>
                <w:szCs w:val="16"/>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val="0"/>
                <w:i w:val="0"/>
                <w:color w:val="auto"/>
                <w:sz w:val="16"/>
                <w:szCs w:val="16"/>
                <w:u w:val="none"/>
                <w:lang w:val="en-US" w:eastAsia="zh-CN"/>
              </w:rPr>
            </w:pPr>
            <w:r>
              <w:rPr>
                <w:rFonts w:hint="eastAsia" w:ascii="宋体" w:hAnsi="宋体" w:cs="宋体"/>
                <w:b/>
                <w:bCs w:val="0"/>
                <w:i w:val="0"/>
                <w:color w:val="auto"/>
                <w:sz w:val="16"/>
                <w:szCs w:val="16"/>
                <w:u w:val="none"/>
                <w:lang w:val="en-US" w:eastAsia="zh-CN"/>
              </w:rPr>
              <w:t>393.88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val="0"/>
                <w:i w:val="0"/>
                <w:color w:val="auto"/>
                <w:kern w:val="0"/>
                <w:sz w:val="16"/>
                <w:szCs w:val="16"/>
                <w:u w:val="none"/>
                <w:lang w:val="en-US" w:eastAsia="zh-CN" w:bidi="ar"/>
              </w:rPr>
            </w:pPr>
            <w:r>
              <w:rPr>
                <w:rFonts w:hint="eastAsia" w:ascii="宋体" w:hAnsi="宋体" w:cs="宋体"/>
                <w:b/>
                <w:bCs w:val="0"/>
                <w:i w:val="0"/>
                <w:color w:val="auto"/>
                <w:kern w:val="0"/>
                <w:sz w:val="16"/>
                <w:szCs w:val="16"/>
                <w:u w:val="none"/>
                <w:lang w:val="en-US" w:eastAsia="zh-CN" w:bidi="ar"/>
              </w:rPr>
              <w:t>24.00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val="0"/>
                <w:i w:val="0"/>
                <w:color w:val="auto"/>
                <w:sz w:val="16"/>
                <w:szCs w:val="16"/>
                <w:u w:val="none"/>
              </w:rPr>
            </w:pPr>
            <w:r>
              <w:rPr>
                <w:rFonts w:hint="eastAsia" w:ascii="宋体" w:hAnsi="宋体" w:eastAsia="宋体" w:cs="宋体"/>
                <w:b/>
                <w:bCs w:val="0"/>
                <w:i w:val="0"/>
                <w:color w:val="auto"/>
                <w:kern w:val="0"/>
                <w:sz w:val="16"/>
                <w:szCs w:val="16"/>
                <w:u w:val="none"/>
                <w:lang w:val="en-US" w:eastAsia="zh-CN" w:bidi="ar"/>
              </w:rPr>
              <w:t>对下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jc w:val="center"/>
        </w:trPr>
        <w:tc>
          <w:tcPr>
            <w:tcW w:w="34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00" w:lineRule="exact"/>
              <w:jc w:val="center"/>
              <w:rPr>
                <w:rFonts w:hint="eastAsia" w:ascii="宋体" w:hAnsi="宋体" w:eastAsia="宋体" w:cs="宋体"/>
                <w:b/>
                <w:bCs w:val="0"/>
                <w:i w:val="0"/>
                <w:color w:val="auto"/>
                <w:sz w:val="20"/>
                <w:szCs w:val="20"/>
                <w:u w:val="none"/>
              </w:rPr>
            </w:pPr>
            <w:r>
              <w:rPr>
                <w:rFonts w:hint="eastAsia" w:ascii="宋体" w:hAnsi="宋体" w:eastAsia="宋体" w:cs="宋体"/>
                <w:b/>
                <w:bCs w:val="0"/>
                <w:i w:val="0"/>
                <w:color w:val="auto"/>
                <w:kern w:val="0"/>
                <w:sz w:val="20"/>
                <w:szCs w:val="20"/>
                <w:u w:val="none"/>
                <w:lang w:val="en-US" w:eastAsia="zh-CN" w:bidi="ar"/>
              </w:rPr>
              <w:t>合　计</w:t>
            </w:r>
          </w:p>
        </w:tc>
        <w:tc>
          <w:tcPr>
            <w:tcW w:w="234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b/>
                <w:bCs w:val="0"/>
                <w:i w:val="0"/>
                <w:color w:val="auto"/>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718.88</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val="0"/>
                <w:i w:val="0"/>
                <w:color w:val="auto"/>
                <w:sz w:val="20"/>
                <w:szCs w:val="20"/>
                <w:u w:val="none"/>
                <w:lang w:val="en-US" w:eastAsia="zh-CN"/>
              </w:rPr>
            </w:pPr>
            <w:r>
              <w:rPr>
                <w:rFonts w:hint="eastAsia" w:ascii="宋体" w:hAnsi="宋体" w:cs="宋体"/>
                <w:b/>
                <w:bCs w:val="0"/>
                <w:i w:val="0"/>
                <w:color w:val="auto"/>
                <w:sz w:val="20"/>
                <w:szCs w:val="20"/>
                <w:u w:val="none"/>
                <w:lang w:val="en-US" w:eastAsia="zh-CN"/>
              </w:rPr>
              <w:t>50.00</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val="0"/>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五、项目开展的具体内容和措施</w:t>
      </w:r>
    </w:p>
    <w:p>
      <w:pPr>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经组织</w:t>
      </w:r>
      <w:r>
        <w:rPr>
          <w:rFonts w:hint="eastAsia" w:ascii="方正仿宋_GBK" w:eastAsia="方正仿宋_GBK"/>
          <w:sz w:val="32"/>
          <w:szCs w:val="32"/>
          <w:lang w:eastAsia="zh-CN"/>
        </w:rPr>
        <w:t>申报、实地调研、</w:t>
      </w:r>
      <w:r>
        <w:rPr>
          <w:rFonts w:hint="default" w:ascii="Times New Roman" w:hAnsi="Times New Roman" w:eastAsia="方正仿宋_GBK" w:cs="Times New Roman"/>
          <w:sz w:val="32"/>
          <w:szCs w:val="32"/>
          <w:lang w:eastAsia="zh-CN"/>
        </w:rPr>
        <w:t>专</w:t>
      </w:r>
      <w:r>
        <w:rPr>
          <w:rFonts w:hint="eastAsia" w:ascii="方正仿宋_GBK" w:eastAsia="方正仿宋_GBK"/>
          <w:sz w:val="32"/>
          <w:szCs w:val="32"/>
          <w:lang w:eastAsia="zh-CN"/>
        </w:rPr>
        <w:t>家评审、党组会审议推荐、市委人才领导小组审定等程序，</w:t>
      </w:r>
      <w:r>
        <w:rPr>
          <w:rFonts w:hint="eastAsia" w:ascii="Times New Roman" w:hAnsi="Times New Roman" w:eastAsia="方正仿宋_GBK" w:cs="Times New Roman"/>
          <w:b w:val="0"/>
          <w:bCs w:val="0"/>
          <w:color w:val="auto"/>
          <w:kern w:val="0"/>
          <w:sz w:val="32"/>
          <w:szCs w:val="32"/>
          <w:highlight w:val="none"/>
          <w:lang w:val="en-US" w:eastAsia="zh-CN" w:bidi="zh-CN"/>
        </w:rPr>
        <w:t>2022年已认定12个市级研发服务平台，2023年认定7个市级研发服务平台，2024年拟认定6个市级研发服务平台现已上报</w:t>
      </w:r>
      <w:r>
        <w:rPr>
          <w:rStyle w:val="14"/>
          <w:rFonts w:hint="eastAsia" w:ascii="Times New Roman" w:hAnsi="Times New Roman" w:eastAsia="方正仿宋_GBK" w:cs="Times New Roman"/>
          <w:b w:val="0"/>
          <w:sz w:val="32"/>
          <w:szCs w:val="32"/>
          <w:lang w:eastAsia="zh-CN"/>
        </w:rPr>
        <w:t>市委人才工作领导小组审定。</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其中，玉溪市重点实验室/工程技术研究中心认定16个：</w:t>
      </w:r>
      <w:r>
        <w:rPr>
          <w:rFonts w:hint="eastAsia" w:ascii="Times New Roman" w:hAnsi="Times New Roman" w:eastAsia="方正仿宋_GBK" w:cs="Times New Roman"/>
          <w:sz w:val="32"/>
          <w:szCs w:val="32"/>
          <w:lang w:val="en-US" w:eastAsia="zh-CN"/>
        </w:rPr>
        <w:t>玉溪市人民医院申报的玉溪市骨代谢疾病研究重点实验室、玉溪师范学院申报的玉溪市化石遗产研究与保护重点实验室、鸿翔中药科技有限责任公司申报的玉溪市中药配方颗粒工程技术研究中心、玉溪市人民医院申报的互联网医疗（智慧医疗）工程技术研究中心、云南康福茶叶有限公司申报的玉溪市普洱茶醋工程技术研究中心、</w:t>
      </w:r>
      <w:r>
        <w:rPr>
          <w:rFonts w:hint="eastAsia" w:ascii="Times New Roman" w:hAnsi="Times New Roman" w:eastAsia="方正仿宋_GBK" w:cs="Times New Roman"/>
          <w:color w:val="auto"/>
          <w:sz w:val="32"/>
          <w:szCs w:val="32"/>
          <w:lang w:val="en-US" w:eastAsia="zh-CN"/>
        </w:rPr>
        <w:t>玉溪市第二人民医院申报的玉溪市精神健康专科测查重点实验室、云南万家红园艺有限公司申报的玉溪市樱花种苗工程技术研究中心、玉溪市农业科学院申报的玉溪市花卉种质资源保存和创新利用重点实验室、贵研工业催化剂（云南）有限公司申报的玉溪市贵金属催化材料和应用工程技术研究中心、玉溪农业职业技术学院（共建：上海市农业科学院）申报的玉溪市草腐生菌良种繁育重点实验室、玉溪师范学院申报的玉溪市铼和铂族金属绿色化学分离及低维纳米材料合成重点实验室、玉溪师范学院申报玉溪市产品质量快速检测重点实验室、玉溪市人民医院申报的玉溪市心血管疾病风险研究重点实验室、新平褚氏农业有限公司申报的玉溪市柑橘种植工程技术研究中心、云南建投玉溪建材有限公司申报的玉溪市绿色高性能混凝土工程技术研究中心 云南果研社农业科技发展有限公司申报的玉溪市果蔬汁深加工工程技术研究中心。玉溪市公</w:t>
      </w:r>
      <w:r>
        <w:rPr>
          <w:rFonts w:hint="eastAsia" w:ascii="Times New Roman" w:hAnsi="Times New Roman" w:eastAsia="方正仿宋_GBK" w:cs="Times New Roman"/>
          <w:sz w:val="32"/>
          <w:szCs w:val="32"/>
          <w:lang w:val="en-US" w:eastAsia="zh-CN"/>
        </w:rPr>
        <w:t>共技术服务平台认定7个：云南玉溪中汇电力设备有限责任公司申报的电可维智慧电务平台、玉溪市质量技术监督综合检测中心申报的玉溪市检验检测公共技术服务平台、云南省玉溪市水力发电设备有限责任公司申报的中小型水力发电公共技术服务平台、云南永兴元科技有限公司申报的玉溪市智慧政务应用公共技术服务平台、玉溪师范学院申报的玉溪师范学院服务地方分析检测公共技术平台、玉溪市建设工程质量检测中心申报的玉溪市建设工程质量检测公共技术服务平台、云南省生态环境厅驻玉溪市生态环境监测站申报的玉溪市生态环境检测公共技术服务平台。</w:t>
      </w:r>
      <w:r>
        <w:rPr>
          <w:rFonts w:hint="eastAsia" w:ascii="Times New Roman" w:hAnsi="Times New Roman" w:eastAsia="方正仿宋_GBK" w:cs="Times New Roman"/>
          <w:b w:val="0"/>
          <w:bCs w:val="0"/>
          <w:color w:val="auto"/>
          <w:kern w:val="0"/>
          <w:sz w:val="32"/>
          <w:szCs w:val="32"/>
          <w:highlight w:val="none"/>
          <w:lang w:val="en-US" w:eastAsia="zh-CN" w:bidi="zh-CN"/>
        </w:rPr>
        <w:t>玉溪市产业技术研究院认定1个：</w:t>
      </w:r>
      <w:r>
        <w:rPr>
          <w:rFonts w:hint="eastAsia" w:ascii="Times New Roman" w:hAnsi="Times New Roman" w:eastAsia="方正仿宋_GBK" w:cs="Times New Roman"/>
          <w:sz w:val="32"/>
          <w:szCs w:val="32"/>
          <w:lang w:val="en-US" w:eastAsia="zh-CN"/>
        </w:rPr>
        <w:t>中烟施伟策（云南）再造烟叶有限公司申报的加热烟草卷烟芯材及辅材产业技术研究院。</w:t>
      </w:r>
      <w:r>
        <w:rPr>
          <w:rFonts w:hint="eastAsia" w:ascii="Times New Roman" w:hAnsi="Times New Roman" w:eastAsia="方正仿宋_GBK" w:cs="Times New Roman"/>
          <w:b w:val="0"/>
          <w:bCs w:val="0"/>
          <w:color w:val="auto"/>
          <w:kern w:val="0"/>
          <w:sz w:val="32"/>
          <w:szCs w:val="32"/>
          <w:highlight w:val="none"/>
          <w:lang w:val="en-US" w:eastAsia="zh-CN" w:bidi="zh-CN"/>
        </w:rPr>
        <w:t>玉溪市新型研发机构认定1个：</w:t>
      </w:r>
      <w:r>
        <w:rPr>
          <w:rFonts w:hint="eastAsia" w:ascii="Times New Roman" w:hAnsi="Times New Roman" w:eastAsia="方正仿宋_GBK" w:cs="Times New Roman"/>
          <w:sz w:val="32"/>
          <w:szCs w:val="32"/>
          <w:lang w:val="en-US" w:eastAsia="zh-CN"/>
        </w:rPr>
        <w:t>玉溪晨兴矿冶科技开发有限公司</w:t>
      </w:r>
      <w:r>
        <w:rPr>
          <w:rFonts w:hint="eastAsia" w:ascii="Times New Roman" w:hAnsi="Times New Roman" w:eastAsia="方正仿宋_GBK" w:cs="Times New Roman"/>
          <w:sz w:val="32"/>
          <w:szCs w:val="32"/>
          <w:lang w:eastAsia="zh-CN"/>
        </w:rPr>
        <w:t>新型研发机构</w:t>
      </w:r>
      <w:r>
        <w:rPr>
          <w:rFonts w:hint="eastAsia" w:ascii="Times New Roman" w:hAnsi="Times New Roman" w:eastAsia="方正仿宋_GBK" w:cs="Times New Roman"/>
          <w:b w:val="0"/>
          <w:bCs w:val="0"/>
          <w:color w:val="auto"/>
          <w:kern w:val="0"/>
          <w:sz w:val="32"/>
          <w:szCs w:val="32"/>
          <w:highlight w:val="none"/>
          <w:lang w:val="en-US" w:eastAsia="zh-CN" w:bidi="zh-CN"/>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分月用款计划和支出目标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项目实施单位先期已投入资金完成平台建设，平台条件达到了相关认定管理办法标准。根据《玉溪市“兴玉英才支持计划”实施办法》（玉党人才〔2022〕1号）《玉溪市科技创新平台建设专项实施细则（试行）》（玉党人才〔2022〕9号）和评审结果标准，对新认定的市级研发服务平台进行后补助。</w:t>
      </w:r>
      <w:r>
        <w:rPr>
          <w:rFonts w:hint="eastAsia" w:ascii="Times New Roman" w:hAnsi="Times New Roman" w:eastAsia="方正仿宋_GBK" w:cs="Times New Roman"/>
          <w:b/>
          <w:bCs/>
          <w:color w:val="auto"/>
          <w:kern w:val="0"/>
          <w:sz w:val="32"/>
          <w:szCs w:val="32"/>
          <w:highlight w:val="none"/>
          <w:lang w:val="en-US" w:eastAsia="zh-CN" w:bidi="zh-CN"/>
        </w:rPr>
        <w:t>2025年对2022年、2023年和2024年认定的25个市级研发服务平台每个补助2万元，共计补助50万元。</w:t>
      </w:r>
      <w:r>
        <w:rPr>
          <w:rFonts w:hint="eastAsia" w:ascii="Times New Roman" w:hAnsi="Times New Roman" w:eastAsia="方正仿宋_GBK" w:cs="Times New Roman"/>
          <w:b w:val="0"/>
          <w:bCs w:val="0"/>
          <w:color w:val="auto"/>
          <w:kern w:val="0"/>
          <w:sz w:val="32"/>
          <w:szCs w:val="32"/>
          <w:highlight w:val="none"/>
          <w:lang w:val="en-US" w:eastAsia="zh-CN" w:bidi="zh-CN"/>
        </w:rPr>
        <w:t>其中玉溪市重点实验室/工程技术研究中心16个，共32万元；玉溪市公共技术服务平台7个，共14万元；玉溪市新型研发机构1个，共补助2万元；玉溪市产业技术研究院1个，共补助2万元。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 w:val="0"/>
          <w:bCs w:val="0"/>
          <w:color w:val="auto"/>
          <w:kern w:val="0"/>
          <w:sz w:val="32"/>
          <w:szCs w:val="32"/>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bidi="zh-CN"/>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line="59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项目预期效果</w:t>
      </w: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方正黑体_GBK" w:hAnsi="方正黑体_GBK" w:eastAsia="方正黑体_GBK" w:cs="方正黑体_GBK"/>
          <w:b/>
          <w:bCs/>
          <w:sz w:val="32"/>
          <w:szCs w:val="32"/>
          <w:lang w:val="en-US" w:eastAsia="zh-CN"/>
        </w:rPr>
      </w:pPr>
      <w:r>
        <w:rPr>
          <w:rFonts w:hint="eastAsia" w:ascii="Times New Roman" w:hAnsi="Times New Roman" w:eastAsia="方正仿宋_GBK" w:cs="Times New Roman"/>
          <w:b w:val="0"/>
          <w:bCs w:val="0"/>
          <w:color w:val="auto"/>
          <w:kern w:val="0"/>
          <w:sz w:val="32"/>
          <w:szCs w:val="32"/>
          <w:highlight w:val="none"/>
          <w:lang w:val="en-US" w:eastAsia="zh-CN" w:bidi="zh-CN"/>
        </w:rPr>
        <w:t>市级</w:t>
      </w:r>
      <w:r>
        <w:rPr>
          <w:rFonts w:hint="default" w:ascii="Times New Roman" w:hAnsi="Times New Roman" w:eastAsia="方正仿宋_GBK" w:cs="Times New Roman"/>
          <w:b w:val="0"/>
          <w:bCs w:val="0"/>
          <w:color w:val="auto"/>
          <w:kern w:val="0"/>
          <w:sz w:val="32"/>
          <w:szCs w:val="32"/>
          <w:highlight w:val="none"/>
          <w:lang w:val="en-US" w:eastAsia="zh-CN" w:bidi="zh-CN"/>
        </w:rPr>
        <w:t>研发服务平台</w:t>
      </w:r>
      <w:r>
        <w:rPr>
          <w:rFonts w:hint="eastAsia" w:ascii="Times New Roman" w:hAnsi="Times New Roman" w:eastAsia="方正仿宋_GBK" w:cs="Times New Roman"/>
          <w:b w:val="0"/>
          <w:bCs w:val="0"/>
          <w:color w:val="auto"/>
          <w:kern w:val="0"/>
          <w:sz w:val="32"/>
          <w:szCs w:val="32"/>
          <w:highlight w:val="none"/>
          <w:lang w:val="en-US" w:eastAsia="zh-CN" w:bidi="zh-CN"/>
        </w:rPr>
        <w:t>认定是玉溪市科技创新体系建设的重要组成部分，加强平台建设，进一步促进科技创新平台提质增效，提高科技创新和产业发展服务能力，促进成果转移转化，更好地支撑产业、服务玉溪经济社会发展。完成玉溪市重点实验室/工程技术研究中心认定16个，玉溪市公共技术服务平台认定7个，玉溪市产业技术研究院认定1个，玉溪市新型研发机构认定1个。平台研究人员参加数达676人以上，其中高级职称（或博士）及以上研究人员参加人数达132人，发表科研论文达261篇以上，获得知识产权151项以上，其中发明专利33件以上，带动研发投入7125万元以上，平台实现转化经济效益237222万元以上，年服务创新主体843家以上，顾客满意度90%以上。</w:t>
      </w:r>
    </w:p>
    <w:p>
      <w:pPr>
        <w:pStyle w:val="6"/>
        <w:keepNext w:val="0"/>
        <w:keepLines w:val="0"/>
        <w:pageBreakBefore w:val="0"/>
        <w:numPr>
          <w:ilvl w:val="0"/>
          <w:numId w:val="2"/>
        </w:numPr>
        <w:kinsoku/>
        <w:wordWrap/>
        <w:overflowPunct/>
        <w:topLinePunct w:val="0"/>
        <w:autoSpaceDE/>
        <w:autoSpaceDN/>
        <w:bidi w:val="0"/>
        <w:adjustRightInd/>
        <w:snapToGrid/>
        <w:spacing w:line="590" w:lineRule="exact"/>
        <w:ind w:firstLine="643" w:firstLineChars="200"/>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项目实施的保障制度</w:t>
      </w: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1.内控制度:按照《玉溪市科技局业务管理风险内部控制办法(试行)》文件第二章预算业务防控风险，服从内部控制规范工作领导小组安排并严格执行，防范化解风险。</w:t>
      </w: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2.预算绩效管理制度:按照《玉溪市科技局财政业务绩效项目管理暂行办法》，服从预算绩效评级领导的安排，落实资金责任，提高财政资金的使用效益。</w:t>
      </w: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r>
        <w:rPr>
          <w:rFonts w:hint="eastAsia" w:ascii="Times New Roman" w:hAnsi="Times New Roman" w:eastAsia="方正仿宋_GBK" w:cs="Times New Roman"/>
          <w:b w:val="0"/>
          <w:bCs w:val="0"/>
          <w:color w:val="auto"/>
          <w:kern w:val="0"/>
          <w:sz w:val="32"/>
          <w:szCs w:val="32"/>
          <w:highlight w:val="none"/>
          <w:lang w:val="en-US" w:eastAsia="zh-CN" w:bidi="zh-CN"/>
        </w:rPr>
        <w:t>3.财务制度:按照《玉溪市科技领域财政事权和支出责任划分改革实施方案》玉政办发(2020〕15号文件标准严格执行，提高政治站位、抓好财力保障、加强绩效管理、协调推进改革的配套措施。</w:t>
      </w: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p>
    <w:p>
      <w:pPr>
        <w:pStyle w:val="15"/>
        <w:keepNext w:val="0"/>
        <w:keepLines w:val="0"/>
        <w:pageBreakBefore w:val="0"/>
        <w:kinsoku/>
        <w:wordWrap/>
        <w:overflowPunct/>
        <w:topLinePunct w:val="0"/>
        <w:autoSpaceDE/>
        <w:autoSpaceDN/>
        <w:bidi w:val="0"/>
        <w:snapToGrid/>
        <w:spacing w:line="590" w:lineRule="exact"/>
        <w:ind w:left="0" w:leftChars="0" w:firstLine="0" w:firstLineChars="0"/>
        <w:rPr>
          <w:rFonts w:hint="eastAsia"/>
          <w:lang w:val="en-US" w:eastAsia="zh-CN"/>
        </w:rPr>
      </w:pPr>
    </w:p>
    <w:p>
      <w:pPr>
        <w:pStyle w:val="6"/>
        <w:keepNext w:val="0"/>
        <w:keepLines w:val="0"/>
        <w:pageBreakBefore w:val="0"/>
        <w:numPr>
          <w:ilvl w:val="0"/>
          <w:numId w:val="0"/>
        </w:numPr>
        <w:kinsoku/>
        <w:wordWrap/>
        <w:overflowPunct/>
        <w:topLinePunct w:val="0"/>
        <w:autoSpaceDE/>
        <w:autoSpaceDN/>
        <w:bidi w:val="0"/>
        <w:adjustRightInd/>
        <w:snapToGrid/>
        <w:spacing w:line="590" w:lineRule="exact"/>
        <w:ind w:firstLine="640" w:firstLineChars="200"/>
        <w:rPr>
          <w:rFonts w:hint="eastAsia" w:ascii="Times New Roman" w:hAnsi="Times New Roman" w:eastAsia="方正仿宋_GBK" w:cs="Times New Roman"/>
          <w:b w:val="0"/>
          <w:bCs w:val="0"/>
          <w:color w:val="auto"/>
          <w:kern w:val="0"/>
          <w:sz w:val="32"/>
          <w:szCs w:val="32"/>
          <w:highlight w:val="none"/>
          <w:lang w:val="en-US" w:eastAsia="zh-CN" w:bidi="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default" w:ascii="Times New Roman" w:hAnsi="Times New Roman" w:eastAsia="方正仿宋_GBK" w:cs="Times New Roman"/>
          <w:b w:val="0"/>
          <w:bCs w:val="0"/>
          <w:color w:val="auto"/>
          <w:kern w:val="0"/>
          <w:sz w:val="32"/>
          <w:szCs w:val="32"/>
          <w:highlight w:val="none"/>
          <w:lang w:val="en" w:eastAsia="zh-CN" w:bidi="zh-CN"/>
        </w:rPr>
      </w:pPr>
    </w:p>
    <w:p>
      <w:pPr>
        <w:keepNext w:val="0"/>
        <w:keepLines w:val="0"/>
        <w:pageBreakBefore w:val="0"/>
        <w:widowControl w:val="0"/>
        <w:kinsoku/>
        <w:wordWrap/>
        <w:overflowPunct/>
        <w:topLinePunct w:val="0"/>
        <w:autoSpaceDE/>
        <w:autoSpaceDN/>
        <w:bidi w:val="0"/>
        <w:adjustRightInd/>
        <w:snapToGrid/>
        <w:spacing w:line="590" w:lineRule="exact"/>
        <w:ind w:firstLine="5440" w:firstLineChars="1700"/>
        <w:textAlignment w:val="auto"/>
        <w:rPr>
          <w:rFonts w:hint="default"/>
          <w:lang w:val="en" w:eastAsia="zh-CN"/>
        </w:rPr>
      </w:pPr>
      <w:r>
        <w:rPr>
          <w:rFonts w:hint="default" w:ascii="Times New Roman" w:hAnsi="Times New Roman" w:eastAsia="方正仿宋_GBK" w:cs="Times New Roman"/>
          <w:b w:val="0"/>
          <w:bCs w:val="0"/>
          <w:color w:val="auto"/>
          <w:kern w:val="0"/>
          <w:sz w:val="32"/>
          <w:szCs w:val="32"/>
          <w:highlight w:val="none"/>
          <w:lang w:val="en" w:eastAsia="zh-CN" w:bidi="zh-CN"/>
        </w:rPr>
        <w:t xml:space="preserve">                    </w:t>
      </w:r>
      <w:r>
        <w:rPr>
          <w:rFonts w:hint="eastAsia" w:ascii="Times New Roman" w:hAnsi="Times New Roman" w:eastAsia="方正仿宋_GBK" w:cs="Times New Roman"/>
          <w:b w:val="0"/>
          <w:bCs w:val="0"/>
          <w:color w:val="auto"/>
          <w:kern w:val="0"/>
          <w:sz w:val="32"/>
          <w:szCs w:val="32"/>
          <w:highlight w:val="none"/>
          <w:lang w:val="en-US" w:eastAsia="zh-CN" w:bidi="zh-CN"/>
        </w:rPr>
        <w:t xml:space="preserve">   </w:t>
      </w:r>
      <w:r>
        <w:rPr>
          <w:rFonts w:hint="default" w:ascii="Times New Roman" w:hAnsi="Times New Roman" w:eastAsia="方正仿宋_GBK" w:cs="Times New Roman"/>
          <w:b w:val="0"/>
          <w:bCs w:val="0"/>
          <w:color w:val="auto"/>
          <w:kern w:val="0"/>
          <w:sz w:val="32"/>
          <w:szCs w:val="32"/>
          <w:highlight w:val="none"/>
          <w:lang w:val="en" w:eastAsia="zh-CN" w:bidi="zh-CN"/>
        </w:rPr>
        <w:t xml:space="preserve"> </w:t>
      </w:r>
      <w:r>
        <w:rPr>
          <w:rFonts w:hint="eastAsia" w:ascii="Times New Roman" w:hAnsi="Times New Roman" w:eastAsia="方正仿宋_GBK" w:cs="Times New Roman"/>
          <w:b w:val="0"/>
          <w:bCs w:val="0"/>
          <w:color w:val="auto"/>
          <w:kern w:val="0"/>
          <w:sz w:val="32"/>
          <w:szCs w:val="32"/>
          <w:highlight w:val="none"/>
          <w:lang w:val="en-US" w:eastAsia="zh-CN" w:bidi="zh-CN"/>
        </w:rPr>
        <w:t xml:space="preserve"> </w:t>
      </w:r>
      <w:bookmarkStart w:id="0" w:name="_GoBack"/>
      <w:bookmarkEnd w:id="0"/>
    </w:p>
    <w:sectPr>
      <w:footerReference r:id="rId3" w:type="default"/>
      <w:pgSz w:w="11906" w:h="16838"/>
      <w:pgMar w:top="2041"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B98A4"/>
    <w:multiLevelType w:val="singleLevel"/>
    <w:tmpl w:val="B3FB98A4"/>
    <w:lvl w:ilvl="0" w:tentative="0">
      <w:start w:val="6"/>
      <w:numFmt w:val="chineseCounting"/>
      <w:suff w:val="nothing"/>
      <w:lvlText w:val="%1、"/>
      <w:lvlJc w:val="left"/>
      <w:rPr>
        <w:rFonts w:hint="eastAsia"/>
      </w:rPr>
    </w:lvl>
  </w:abstractNum>
  <w:abstractNum w:abstractNumId="1">
    <w:nsid w:val="607F991E"/>
    <w:multiLevelType w:val="multilevel"/>
    <w:tmpl w:val="607F991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F0DD3"/>
    <w:rsid w:val="05EEAC01"/>
    <w:rsid w:val="09E9643C"/>
    <w:rsid w:val="0CDA3850"/>
    <w:rsid w:val="0FFF7678"/>
    <w:rsid w:val="168B7918"/>
    <w:rsid w:val="1AFF0D7B"/>
    <w:rsid w:val="1D9F5BAD"/>
    <w:rsid w:val="1DBF3F95"/>
    <w:rsid w:val="1E5E1748"/>
    <w:rsid w:val="1FBD76E5"/>
    <w:rsid w:val="1FBEB373"/>
    <w:rsid w:val="1FF816F1"/>
    <w:rsid w:val="25C727F0"/>
    <w:rsid w:val="27C2235A"/>
    <w:rsid w:val="29FBE2B2"/>
    <w:rsid w:val="2A134F33"/>
    <w:rsid w:val="2BBBDE20"/>
    <w:rsid w:val="2CFE7FF7"/>
    <w:rsid w:val="2E6700A6"/>
    <w:rsid w:val="2ED6F846"/>
    <w:rsid w:val="2FB7259B"/>
    <w:rsid w:val="2FE4F288"/>
    <w:rsid w:val="2FFF3835"/>
    <w:rsid w:val="33BFA9E3"/>
    <w:rsid w:val="33C61C9B"/>
    <w:rsid w:val="33DAC52A"/>
    <w:rsid w:val="347D43C4"/>
    <w:rsid w:val="34BFB338"/>
    <w:rsid w:val="36AF0DD3"/>
    <w:rsid w:val="36FFD7ED"/>
    <w:rsid w:val="373D9FAD"/>
    <w:rsid w:val="37B372BF"/>
    <w:rsid w:val="37BC9874"/>
    <w:rsid w:val="37EFDCB6"/>
    <w:rsid w:val="39AF2CBA"/>
    <w:rsid w:val="39FB52EC"/>
    <w:rsid w:val="3B8D95C7"/>
    <w:rsid w:val="3BDD9AB6"/>
    <w:rsid w:val="3BDF74F7"/>
    <w:rsid w:val="3BFE3584"/>
    <w:rsid w:val="3CCF88CB"/>
    <w:rsid w:val="3DCFE960"/>
    <w:rsid w:val="3DFD9D85"/>
    <w:rsid w:val="3DFE58F7"/>
    <w:rsid w:val="3E5A6542"/>
    <w:rsid w:val="3EA7DBD5"/>
    <w:rsid w:val="3EDB1F9D"/>
    <w:rsid w:val="3EFD31C4"/>
    <w:rsid w:val="3F4B7C27"/>
    <w:rsid w:val="3F6E7C0B"/>
    <w:rsid w:val="3F6F4257"/>
    <w:rsid w:val="3F722155"/>
    <w:rsid w:val="3F7473F6"/>
    <w:rsid w:val="3FD1F1CC"/>
    <w:rsid w:val="3FD78A62"/>
    <w:rsid w:val="3FDAD954"/>
    <w:rsid w:val="3FE47C06"/>
    <w:rsid w:val="3FFBD591"/>
    <w:rsid w:val="3FFE29E9"/>
    <w:rsid w:val="3FFFB87A"/>
    <w:rsid w:val="431F3BD4"/>
    <w:rsid w:val="46FB4AD2"/>
    <w:rsid w:val="4AEC59E2"/>
    <w:rsid w:val="4CE7355C"/>
    <w:rsid w:val="4D9FC0F9"/>
    <w:rsid w:val="4DF5AF53"/>
    <w:rsid w:val="4DFD80AA"/>
    <w:rsid w:val="4ED77843"/>
    <w:rsid w:val="4F1FB12E"/>
    <w:rsid w:val="534E4821"/>
    <w:rsid w:val="53F7AEC8"/>
    <w:rsid w:val="54F63D79"/>
    <w:rsid w:val="55D33F01"/>
    <w:rsid w:val="55F508DF"/>
    <w:rsid w:val="55FAA9BF"/>
    <w:rsid w:val="57FAAB12"/>
    <w:rsid w:val="5A9F33A2"/>
    <w:rsid w:val="5B6BC301"/>
    <w:rsid w:val="5B9F1912"/>
    <w:rsid w:val="5BB7492B"/>
    <w:rsid w:val="5BBF8CDC"/>
    <w:rsid w:val="5CE70CA9"/>
    <w:rsid w:val="5DFB0A6C"/>
    <w:rsid w:val="5E69C0AF"/>
    <w:rsid w:val="5EFFC9C8"/>
    <w:rsid w:val="5F7F8F33"/>
    <w:rsid w:val="5F9F8EB2"/>
    <w:rsid w:val="5FDF9630"/>
    <w:rsid w:val="5FFDFE43"/>
    <w:rsid w:val="61387234"/>
    <w:rsid w:val="61AF148A"/>
    <w:rsid w:val="639F3A38"/>
    <w:rsid w:val="63FC9111"/>
    <w:rsid w:val="64FB4D21"/>
    <w:rsid w:val="669B03A1"/>
    <w:rsid w:val="67DF6E2A"/>
    <w:rsid w:val="69519BD1"/>
    <w:rsid w:val="69B779CF"/>
    <w:rsid w:val="6AAF8FA7"/>
    <w:rsid w:val="6BCB1D35"/>
    <w:rsid w:val="6BF76094"/>
    <w:rsid w:val="6CDB1ED9"/>
    <w:rsid w:val="6CDD155F"/>
    <w:rsid w:val="6F6F216F"/>
    <w:rsid w:val="6FBF4134"/>
    <w:rsid w:val="6FF5E144"/>
    <w:rsid w:val="6FFBE083"/>
    <w:rsid w:val="6FFFED77"/>
    <w:rsid w:val="6FFFFFDF"/>
    <w:rsid w:val="717F62EF"/>
    <w:rsid w:val="71FF9A24"/>
    <w:rsid w:val="72244CD1"/>
    <w:rsid w:val="72DF4048"/>
    <w:rsid w:val="73778752"/>
    <w:rsid w:val="75DB4757"/>
    <w:rsid w:val="769F147A"/>
    <w:rsid w:val="76BD0FFB"/>
    <w:rsid w:val="772C3F77"/>
    <w:rsid w:val="777B8A7A"/>
    <w:rsid w:val="779F1458"/>
    <w:rsid w:val="77B6BB37"/>
    <w:rsid w:val="77B9A3D8"/>
    <w:rsid w:val="77BB9DF9"/>
    <w:rsid w:val="77D72125"/>
    <w:rsid w:val="77EF0BF8"/>
    <w:rsid w:val="77EF9EA6"/>
    <w:rsid w:val="77F9802C"/>
    <w:rsid w:val="77FEFAE6"/>
    <w:rsid w:val="783FE4AC"/>
    <w:rsid w:val="787F4E71"/>
    <w:rsid w:val="78E61FB7"/>
    <w:rsid w:val="78EF7A8E"/>
    <w:rsid w:val="78FBECAC"/>
    <w:rsid w:val="78FCC4FE"/>
    <w:rsid w:val="79FF3D59"/>
    <w:rsid w:val="7A5FFF51"/>
    <w:rsid w:val="7AE57E2B"/>
    <w:rsid w:val="7AF5B0F9"/>
    <w:rsid w:val="7B634032"/>
    <w:rsid w:val="7BDE7661"/>
    <w:rsid w:val="7BFF5E68"/>
    <w:rsid w:val="7BFFB7B9"/>
    <w:rsid w:val="7BFFFEBC"/>
    <w:rsid w:val="7CB2212B"/>
    <w:rsid w:val="7D1B2C84"/>
    <w:rsid w:val="7D37E59A"/>
    <w:rsid w:val="7D6E64A1"/>
    <w:rsid w:val="7D7598BA"/>
    <w:rsid w:val="7DA5A3FF"/>
    <w:rsid w:val="7DBD72C2"/>
    <w:rsid w:val="7DCFD229"/>
    <w:rsid w:val="7DED3F08"/>
    <w:rsid w:val="7DFB3FF6"/>
    <w:rsid w:val="7DFDC813"/>
    <w:rsid w:val="7EBEECBF"/>
    <w:rsid w:val="7EE6274F"/>
    <w:rsid w:val="7EED1ADD"/>
    <w:rsid w:val="7EFDAAF7"/>
    <w:rsid w:val="7EFDECF2"/>
    <w:rsid w:val="7EFF0B66"/>
    <w:rsid w:val="7EFF7FD0"/>
    <w:rsid w:val="7F1D210F"/>
    <w:rsid w:val="7F2AE0AE"/>
    <w:rsid w:val="7F5799E0"/>
    <w:rsid w:val="7F7BF1A5"/>
    <w:rsid w:val="7F7DC15C"/>
    <w:rsid w:val="7F7FC399"/>
    <w:rsid w:val="7F7FCAAE"/>
    <w:rsid w:val="7F9F253A"/>
    <w:rsid w:val="7FBEED65"/>
    <w:rsid w:val="7FDE89D6"/>
    <w:rsid w:val="7FE69BFC"/>
    <w:rsid w:val="7FE6EE32"/>
    <w:rsid w:val="7FE725FF"/>
    <w:rsid w:val="7FEE848F"/>
    <w:rsid w:val="7FF47FCD"/>
    <w:rsid w:val="7FF5E111"/>
    <w:rsid w:val="7FF67FBD"/>
    <w:rsid w:val="7FF78AB0"/>
    <w:rsid w:val="7FF7D2CE"/>
    <w:rsid w:val="7FF9408B"/>
    <w:rsid w:val="7FFAFA8E"/>
    <w:rsid w:val="7FFBFB55"/>
    <w:rsid w:val="7FFD42C9"/>
    <w:rsid w:val="7FFD7849"/>
    <w:rsid w:val="7FFEFF03"/>
    <w:rsid w:val="83E54EDC"/>
    <w:rsid w:val="87DAA55E"/>
    <w:rsid w:val="8DFB6929"/>
    <w:rsid w:val="93FF8F11"/>
    <w:rsid w:val="97ED2DE1"/>
    <w:rsid w:val="9AFBF695"/>
    <w:rsid w:val="9BF1FD2C"/>
    <w:rsid w:val="9BFEEB0D"/>
    <w:rsid w:val="9CBFE877"/>
    <w:rsid w:val="9DFF4379"/>
    <w:rsid w:val="9DFFE24B"/>
    <w:rsid w:val="9F1E5833"/>
    <w:rsid w:val="9F7F5FC2"/>
    <w:rsid w:val="9FFD6A5F"/>
    <w:rsid w:val="A7B3FE05"/>
    <w:rsid w:val="A7F73813"/>
    <w:rsid w:val="AB9EE925"/>
    <w:rsid w:val="ABBB83B2"/>
    <w:rsid w:val="AF71E226"/>
    <w:rsid w:val="AFAB1FC1"/>
    <w:rsid w:val="AFBB7156"/>
    <w:rsid w:val="AFEFD082"/>
    <w:rsid w:val="AFF37A3E"/>
    <w:rsid w:val="B0DFCF18"/>
    <w:rsid w:val="B3DF8914"/>
    <w:rsid w:val="B3EA6969"/>
    <w:rsid w:val="B57B98EC"/>
    <w:rsid w:val="B73BF4E6"/>
    <w:rsid w:val="B73D6092"/>
    <w:rsid w:val="B7BE9563"/>
    <w:rsid w:val="B7E6EF0A"/>
    <w:rsid w:val="B7F7802D"/>
    <w:rsid w:val="BA7B23C6"/>
    <w:rsid w:val="BACAFAB8"/>
    <w:rsid w:val="BBBE40A6"/>
    <w:rsid w:val="BBDEFACB"/>
    <w:rsid w:val="BBFFFCA5"/>
    <w:rsid w:val="BCF7A020"/>
    <w:rsid w:val="BD3F836D"/>
    <w:rsid w:val="BD7F4964"/>
    <w:rsid w:val="BDBFF1B0"/>
    <w:rsid w:val="BDFF868E"/>
    <w:rsid w:val="BE731003"/>
    <w:rsid w:val="BE7B1E53"/>
    <w:rsid w:val="BEF79501"/>
    <w:rsid w:val="BF574A72"/>
    <w:rsid w:val="BF7B1B1F"/>
    <w:rsid w:val="BF8407BC"/>
    <w:rsid w:val="BFAFD356"/>
    <w:rsid w:val="BFBB12E0"/>
    <w:rsid w:val="BFEB822D"/>
    <w:rsid w:val="BFEE89D6"/>
    <w:rsid w:val="BFEFDF5E"/>
    <w:rsid w:val="C3573EF7"/>
    <w:rsid w:val="C66ED49C"/>
    <w:rsid w:val="C77DCF60"/>
    <w:rsid w:val="CAFFEEC3"/>
    <w:rsid w:val="CC47E79D"/>
    <w:rsid w:val="CF7F963C"/>
    <w:rsid w:val="CF7FF410"/>
    <w:rsid w:val="CFAB652A"/>
    <w:rsid w:val="CFF1C410"/>
    <w:rsid w:val="D1DFCA72"/>
    <w:rsid w:val="D2FF614F"/>
    <w:rsid w:val="D37F5009"/>
    <w:rsid w:val="D5DD9BAB"/>
    <w:rsid w:val="D5FF098B"/>
    <w:rsid w:val="D77FFC8B"/>
    <w:rsid w:val="D7BDC1EB"/>
    <w:rsid w:val="D7ECE63A"/>
    <w:rsid w:val="D7EF9270"/>
    <w:rsid w:val="DBF53D2E"/>
    <w:rsid w:val="DBFD58A9"/>
    <w:rsid w:val="DD7EA217"/>
    <w:rsid w:val="DDF17843"/>
    <w:rsid w:val="DDFEA495"/>
    <w:rsid w:val="DE7FE698"/>
    <w:rsid w:val="DEBE0C61"/>
    <w:rsid w:val="DEC5529D"/>
    <w:rsid w:val="DEFFC1FE"/>
    <w:rsid w:val="DF06A723"/>
    <w:rsid w:val="DF8D34DC"/>
    <w:rsid w:val="E36AB00B"/>
    <w:rsid w:val="E7FC7711"/>
    <w:rsid w:val="E8EF8BA6"/>
    <w:rsid w:val="E9BF185F"/>
    <w:rsid w:val="EA39CB44"/>
    <w:rsid w:val="EA9F30C8"/>
    <w:rsid w:val="EB7F16A6"/>
    <w:rsid w:val="EBAFC256"/>
    <w:rsid w:val="EBD32533"/>
    <w:rsid w:val="EBDBB737"/>
    <w:rsid w:val="EDBB3D17"/>
    <w:rsid w:val="EDCA416F"/>
    <w:rsid w:val="EE55341D"/>
    <w:rsid w:val="EE7FADA8"/>
    <w:rsid w:val="EF599382"/>
    <w:rsid w:val="EF77A44D"/>
    <w:rsid w:val="EFF9CA25"/>
    <w:rsid w:val="EFFF3B1E"/>
    <w:rsid w:val="EFFF9958"/>
    <w:rsid w:val="F12B76EC"/>
    <w:rsid w:val="F156A0B3"/>
    <w:rsid w:val="F1B70D29"/>
    <w:rsid w:val="F2FF592D"/>
    <w:rsid w:val="F3DF6482"/>
    <w:rsid w:val="F46EE02D"/>
    <w:rsid w:val="F4EF3534"/>
    <w:rsid w:val="F5BD476F"/>
    <w:rsid w:val="F5C6F34F"/>
    <w:rsid w:val="F65E67A4"/>
    <w:rsid w:val="F6F40401"/>
    <w:rsid w:val="F6F7A62B"/>
    <w:rsid w:val="F739B3B7"/>
    <w:rsid w:val="F77E4EC4"/>
    <w:rsid w:val="F7F77309"/>
    <w:rsid w:val="F7F7DF7D"/>
    <w:rsid w:val="F7FEEB8A"/>
    <w:rsid w:val="F7FF7E01"/>
    <w:rsid w:val="F9BEB809"/>
    <w:rsid w:val="FA6D35B4"/>
    <w:rsid w:val="FA751D57"/>
    <w:rsid w:val="FABF4762"/>
    <w:rsid w:val="FADEB97F"/>
    <w:rsid w:val="FB318D22"/>
    <w:rsid w:val="FB6D533C"/>
    <w:rsid w:val="FBAF7F74"/>
    <w:rsid w:val="FBB3AFF5"/>
    <w:rsid w:val="FBEAB06F"/>
    <w:rsid w:val="FBFF6CD9"/>
    <w:rsid w:val="FBFF9C28"/>
    <w:rsid w:val="FBFFE261"/>
    <w:rsid w:val="FCE137BC"/>
    <w:rsid w:val="FCE7DF14"/>
    <w:rsid w:val="FCFAEB08"/>
    <w:rsid w:val="FD7C9478"/>
    <w:rsid w:val="FDB39C10"/>
    <w:rsid w:val="FDF3A57B"/>
    <w:rsid w:val="FDFBA6B9"/>
    <w:rsid w:val="FDFEF705"/>
    <w:rsid w:val="FDFF659C"/>
    <w:rsid w:val="FE38E03E"/>
    <w:rsid w:val="FE3DCA76"/>
    <w:rsid w:val="FE4FDAEE"/>
    <w:rsid w:val="FE5D8302"/>
    <w:rsid w:val="FE734873"/>
    <w:rsid w:val="FE7FE769"/>
    <w:rsid w:val="FEBD38C6"/>
    <w:rsid w:val="FEBE635C"/>
    <w:rsid w:val="FECF5158"/>
    <w:rsid w:val="FEE78BA0"/>
    <w:rsid w:val="FEEF82D9"/>
    <w:rsid w:val="FEFA9E42"/>
    <w:rsid w:val="FF1AEDED"/>
    <w:rsid w:val="FF330E05"/>
    <w:rsid w:val="FF515241"/>
    <w:rsid w:val="FF5FC64E"/>
    <w:rsid w:val="FF66CC2C"/>
    <w:rsid w:val="FF7D5EF0"/>
    <w:rsid w:val="FF7EE824"/>
    <w:rsid w:val="FF7FEEC5"/>
    <w:rsid w:val="FFAE7218"/>
    <w:rsid w:val="FFB6375A"/>
    <w:rsid w:val="FFBB3C6B"/>
    <w:rsid w:val="FFBE5B67"/>
    <w:rsid w:val="FFBF204F"/>
    <w:rsid w:val="FFC1CCCD"/>
    <w:rsid w:val="FFCD0F10"/>
    <w:rsid w:val="FFDCEFF5"/>
    <w:rsid w:val="FFDE9190"/>
    <w:rsid w:val="FFEA3F39"/>
    <w:rsid w:val="FFEF362A"/>
    <w:rsid w:val="FFF6096B"/>
    <w:rsid w:val="FFFBEB0B"/>
    <w:rsid w:val="FFFE72F6"/>
    <w:rsid w:val="FFFF8B88"/>
    <w:rsid w:val="FFFFA529"/>
    <w:rsid w:val="FFFFA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numPr>
        <w:ilvl w:val="1"/>
        <w:numId w:val="1"/>
      </w:numPr>
      <w:spacing w:before="260" w:after="260" w:line="413" w:lineRule="auto"/>
      <w:outlineLvl w:val="1"/>
    </w:pPr>
    <w:rPr>
      <w:rFonts w:ascii="DejaVu Sans" w:hAnsi="DejaVu Sans" w:eastAsia="方正黑体_GBK"/>
      <w:b/>
      <w:sz w:val="32"/>
    </w:rPr>
  </w:style>
  <w:style w:type="paragraph" w:styleId="5">
    <w:name w:val="heading 3"/>
    <w:basedOn w:val="1"/>
    <w:next w:val="1"/>
    <w:qFormat/>
    <w:uiPriority w:val="0"/>
    <w:pPr>
      <w:keepNext/>
      <w:keepLines/>
      <w:spacing w:before="260" w:after="260" w:line="412" w:lineRule="auto"/>
      <w:outlineLvl w:val="2"/>
    </w:pPr>
    <w:rPr>
      <w:rFonts w:ascii="Calibri" w:hAnsi="Calibri" w:eastAsia="宋体" w:cs="Times New Roman"/>
      <w:bCs/>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pPr>
    <w:rPr>
      <w:rFonts w:ascii="方正仿宋_GBK" w:hAnsi="方正仿宋_GBK"/>
      <w:szCs w:val="32"/>
    </w:rPr>
  </w:style>
  <w:style w:type="paragraph" w:styleId="3">
    <w:name w:val="Title"/>
    <w:basedOn w:val="1"/>
    <w:next w:val="1"/>
    <w:qFormat/>
    <w:uiPriority w:val="10"/>
    <w:pPr>
      <w:widowControl w:val="0"/>
      <w:spacing w:before="240" w:after="60"/>
      <w:jc w:val="center"/>
      <w:outlineLvl w:val="0"/>
    </w:pPr>
    <w:rPr>
      <w:rFonts w:ascii="Arial" w:hAnsi="Arial" w:eastAsia="宋体" w:cs="Times New Roman"/>
      <w:b/>
      <w:kern w:val="2"/>
      <w:sz w:val="32"/>
      <w:szCs w:val="24"/>
      <w:lang w:val="en-US" w:eastAsia="zh-CN" w:bidi="ar-SA"/>
    </w:rPr>
  </w:style>
  <w:style w:type="paragraph" w:styleId="6">
    <w:name w:val="Normal Indent"/>
    <w:basedOn w:val="1"/>
    <w:next w:val="1"/>
    <w:qFormat/>
    <w:uiPriority w:val="0"/>
    <w:rPr>
      <w:rFonts w:ascii="宋体" w:hAnsi="宋体" w:cs="宋体"/>
      <w:sz w:val="28"/>
      <w:szCs w:val="28"/>
    </w:rPr>
  </w:style>
  <w:style w:type="paragraph" w:styleId="7">
    <w:name w:val="toc 5"/>
    <w:basedOn w:val="1"/>
    <w:next w:val="1"/>
    <w:unhideWhenUsed/>
    <w:qFormat/>
    <w:uiPriority w:val="39"/>
    <w:pPr>
      <w:ind w:left="840"/>
      <w:jc w:val="left"/>
    </w:pPr>
    <w:rPr>
      <w:rFonts w:cs="Calibri"/>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paragraph" w:customStyle="1" w:styleId="15">
    <w:name w:val="正文首行缩进 21"/>
    <w:basedOn w:val="16"/>
    <w:qFormat/>
    <w:uiPriority w:val="0"/>
    <w:pPr>
      <w:widowControl/>
      <w:adjustRightInd w:val="0"/>
      <w:spacing w:line="300" w:lineRule="auto"/>
      <w:ind w:firstLine="420" w:firstLineChars="200"/>
      <w:jc w:val="left"/>
      <w:textAlignment w:val="baseline"/>
    </w:pPr>
    <w:rPr>
      <w:rFonts w:ascii="Arial" w:hAnsi="Arial"/>
      <w:color w:val="000000"/>
      <w:sz w:val="22"/>
      <w:lang w:eastAsia="en-US"/>
    </w:rPr>
  </w:style>
  <w:style w:type="paragraph" w:customStyle="1" w:styleId="16">
    <w:name w:val="正文文本缩进1"/>
    <w:basedOn w:val="1"/>
    <w:qFormat/>
    <w:uiPriority w:val="0"/>
    <w:pPr>
      <w:ind w:left="420" w:leftChars="200"/>
    </w:pPr>
    <w:rPr>
      <w:rFonts w:ascii="Calibri" w:hAnsi="Calibri" w:eastAsia="宋体" w:cs="Times New Roman"/>
    </w:rPr>
  </w:style>
  <w:style w:type="paragraph" w:customStyle="1" w:styleId="17">
    <w:name w:val="正文缩进1"/>
    <w:basedOn w:val="1"/>
    <w:qFormat/>
    <w:uiPriority w:val="0"/>
    <w:pPr>
      <w:ind w:firstLine="420" w:firstLineChars="200"/>
    </w:pPr>
  </w:style>
  <w:style w:type="character" w:customStyle="1" w:styleId="18">
    <w:name w:val="正文文本 (7) + 间距 4 pt"/>
    <w:qFormat/>
    <w:uiPriority w:val="99"/>
    <w:rPr>
      <w:rFonts w:ascii="MingLiU" w:eastAsia="MingLiU"/>
      <w:color w:val="auto"/>
      <w:spacing w:val="86"/>
      <w:sz w:val="21"/>
      <w:lang w:val="en-US"/>
    </w:rPr>
  </w:style>
  <w:style w:type="paragraph" w:customStyle="1" w:styleId="19">
    <w:name w:val="BodyText"/>
    <w:qFormat/>
    <w:uiPriority w:val="0"/>
    <w:pPr>
      <w:suppressAutoHyphens/>
      <w:spacing w:after="140" w:line="276" w:lineRule="auto"/>
      <w:jc w:val="both"/>
      <w:textAlignment w:val="baseline"/>
    </w:pPr>
    <w:rPr>
      <w:rFonts w:ascii="Calibri" w:hAnsi="Calibri" w:eastAsia="宋体" w:cs="Times New Roman"/>
      <w:kern w:val="2"/>
      <w:sz w:val="21"/>
      <w:szCs w:val="24"/>
      <w:lang w:val="en-US" w:eastAsia="zh-CN" w:bidi="ar-SA"/>
    </w:rPr>
  </w:style>
  <w:style w:type="character" w:customStyle="1" w:styleId="20">
    <w:name w:val="font51"/>
    <w:basedOn w:val="13"/>
    <w:qFormat/>
    <w:uiPriority w:val="0"/>
    <w:rPr>
      <w:rFonts w:hint="default" w:ascii="Arial" w:hAnsi="Arial" w:cs="Arial"/>
      <w:b/>
      <w:color w:val="000000"/>
      <w:sz w:val="20"/>
      <w:szCs w:val="20"/>
      <w:u w:val="none"/>
    </w:rPr>
  </w:style>
  <w:style w:type="character" w:customStyle="1" w:styleId="21">
    <w:name w:val="font31"/>
    <w:basedOn w:val="13"/>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8</Pages>
  <Words>3685</Words>
  <Characters>3953</Characters>
  <Lines>0</Lines>
  <Paragraphs>0</Paragraphs>
  <TotalTime>1</TotalTime>
  <ScaleCrop>false</ScaleCrop>
  <LinksUpToDate>false</LinksUpToDate>
  <CharactersWithSpaces>3972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2022-08-22T01:59:00Z</dcterms:created>
  <dc:creator>SYF</dc:creator>
  <cp:lastModifiedBy>IamSharon</cp:lastModifiedBy>
  <cp:lastPrinted>2024-10-01T14:50:00Z</cp:lastPrinted>
  <dcterms:modified xsi:type="dcterms:W3CDTF">2025-02-20T07:13:59Z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691E6F99A738A16041A00F67C1C6756C_42</vt:lpwstr>
  </property>
</Properties>
</file>