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监督索引号53042600471501000</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4"/>
          <w:szCs w:val="44"/>
        </w:rPr>
      </w:pPr>
      <w:r>
        <w:rPr>
          <w:rFonts w:hint="eastAsia" w:ascii="方正小标宋_GBK" w:hAnsi="方正小标宋_GBK" w:eastAsia="方正小标宋_GBK" w:cs="方正小标宋_GBK"/>
          <w:sz w:val="44"/>
          <w:szCs w:val="44"/>
        </w:rPr>
        <w:t>峨山彝族自治县市场监督管理局2023年度部门决算</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44"/>
          <w:szCs w:val="44"/>
        </w:rPr>
        <w:t>目录</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ascii="方正黑体_GBK" w:hAnsi="方正黑体_GBK" w:eastAsia="方正黑体_GBK" w:cs="方正黑体_GBK"/>
          <w:sz w:val="32"/>
          <w:szCs w:val="32"/>
        </w:rPr>
        <w:t>第一部分  部门概况</w:t>
      </w:r>
    </w:p>
    <w:p>
      <w:pPr>
        <w:keepNext w:val="0"/>
        <w:keepLines w:val="0"/>
        <w:pageBreakBefore w:val="0"/>
        <w:widowControl w:val="0"/>
        <w:kinsoku/>
        <w:wordWrap/>
        <w:overflowPunct/>
        <w:topLinePunct w:val="0"/>
        <w:autoSpaceDE/>
        <w:autoSpaceDN/>
        <w:bidi w:val="0"/>
        <w:adjustRightInd/>
        <w:snapToGrid/>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一、主要职能</w:t>
      </w:r>
    </w:p>
    <w:p>
      <w:pPr>
        <w:keepNext w:val="0"/>
        <w:keepLines w:val="0"/>
        <w:pageBreakBefore w:val="0"/>
        <w:widowControl w:val="0"/>
        <w:kinsoku/>
        <w:wordWrap/>
        <w:overflowPunct/>
        <w:topLinePunct w:val="0"/>
        <w:autoSpaceDE/>
        <w:autoSpaceDN/>
        <w:bidi w:val="0"/>
        <w:adjustRightInd/>
        <w:snapToGrid/>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二、部门基本情况</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sz w:val="32"/>
          <w:szCs w:val="32"/>
        </w:rPr>
      </w:pPr>
      <w:r>
        <w:rPr>
          <w:rFonts w:hint="eastAsia" w:ascii="方正黑体_GBK" w:hAnsi="方正黑体_GBK" w:eastAsia="方正黑体_GBK" w:cs="方正黑体_GBK"/>
          <w:sz w:val="32"/>
          <w:szCs w:val="32"/>
        </w:rPr>
        <w:t xml:space="preserve">第二部分  </w:t>
      </w:r>
      <w:r>
        <w:rPr>
          <w:rFonts w:hint="default" w:ascii="Times New Roman" w:hAnsi="Times New Roman" w:eastAsia="方正黑体_GBK" w:cs="Times New Roman"/>
          <w:sz w:val="32"/>
          <w:szCs w:val="32"/>
          <w:lang w:val="en-US" w:eastAsia="zh-CN"/>
        </w:rPr>
        <w:t>2023</w:t>
      </w:r>
      <w:r>
        <w:rPr>
          <w:rFonts w:hint="default" w:ascii="Times New Roman" w:hAnsi="Times New Roman" w:eastAsia="方正黑体_GBK" w:cs="Times New Roman"/>
          <w:sz w:val="32"/>
          <w:szCs w:val="32"/>
        </w:rPr>
        <w:t>年度部门决算表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一、收入支出决算表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二、收入决算表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三、支出决算表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五、一般公共预算财政拨款收入支出决算表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七、一般公共预算财政拨款项目支出决算表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ind w:left="640" w:hanging="640" w:hanging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十、财政拨款“三公”经费、行政参公单位机关运行经费情表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十一、一般公共预算财政拨款“三公”经费情况表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第三部分  2023年度部门决算情况说明</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一、收入决算情况说明</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二、支出决算情况说明</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三、一般公共预算财政拨款支出决算情况说明</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四、财政拨款“三公”经费支出决算情况说明</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一、机关运行经费支出情况</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二、国有资产占用情况</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三、政府采购支出情况</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四、部门绩效自评情况</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（一）部门整体支出绩效自评情况</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（二）部门整体支出绩效自评表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（三）项目支出绩效自评表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五、其他重要事项情况说明</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六、相关口径说明</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方正黑体_GBK" w:cs="Times New Roman"/>
          <w:sz w:val="32"/>
          <w:szCs w:val="32"/>
        </w:rPr>
        <w:t>第五部分  名词解释</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第一部分  部门概况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市场综合监督管理。起草市场监督管理有关地方性法规、政府规章草案，制定有关政策、标准，组织实施质量强县战略、食品安全战略和标准化战略。拟订并组织实施有关规划，规范和维护市场秩序，营造诚实守信、公平竞争的市场环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市场主体统一登记注册。组织指导全县各类企业、农民专业合作社和从事经营活动的单位、个体工商户等市场主体的登记注册工作。建立市场主体信息公示和共享机制，依法公示和共享有关信息，加强信用监管，推动市场主体信用体系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3.负责组织和指导市场监督管理综合执法工作。指导全县市场监督管理综合执法队伍整合和建设，推动实行统一的市场监督管理。组织查处和督办重大违法案件。规范市场监督管理行政执法行为。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4.负责反垄断统一执法。统筹推进竞争政策实施，指导实施公平竞争审查制度。根据授权承担垄断协议、滥用市场支配地位、经营者集中行为和滥用行政权力排除、限制竞争等反垄断执法工作。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监督管理市场秩序。依法监督管理市场交易、网络商品交易及有关服务的行为。组织指导查处价格收费违法违规、不正当竞争、违法直销、传销、侵犯商标专利知识产权和制售假冒伪劣行为。指导广告业发展，监督管理广告活动。指导查处无照生产经营和相关无证生产经营行为。指导县市场监督管理局消费者协会开展消费维权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质量综合管理，组织实施国家质量发展纲要，推进名牌发展和质量强县战略；会同有关部门组织实施重大工程设备质量监理制度。负责产品质量安全监督，组织开展产品质量安全专项整治和产品质量安全强制检验、风险监控、监督抽查工作；组织开展工业产品质量事故调查，实施缺陷产品召回制度；监督管理产品防伪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产品质量安全监督管理。承担产品质量安全风险监控和监督抽查工作。组织实施质量分级制度、质量安全追溯制度。负责工业产品生产许可管理。承担食品相关产品生产加工环节的质量安全监督管理，按规定开展食品相关产品质量监督抽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8.负责特种设备安全监督管理。综合管理特种设备安全监察、监督工作，监督检查高耗能特种设备节能标准和锅炉环境保护标准的执行情况。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负责食品安全监督管理综合协调。统筹指导全县食品安全工作。组织制定全县食品安全重大政策并组织实施。负责食品安全应急体系建设，组织协调重大食品安全事件应急处置和调查处理工作。建立健全食品安全重要信息直报制度。承担峨山县人民政府食品安全委员会日常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负责食品安全监督管理。建立覆盖食品生产、流通、餐饮、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注册、备案和监督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负责药品（含中药、民族药，下同）、医疗器械和化妆品安全监督管理。贯彻实施药品、医疗器械和化妆品监督管理的法律、法规和政策。负责组织实施药品、医疗器械和化妆品的经营、使用质量管理规范。组织开展药品、医疗器械和化妆品的监督抽样工作。组织指导药品、化妆品不良反应和医疗器械不良事件监测、评价和处置工作。配合实施基本药物制度。依法处理有关药品、医疗器械和化妆品安全的咨询、投诉、举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12.负责计量管理工作。推行法定计量单位，执行国家计量制度，对工业企业、医疗卫生、商品计量和市场计量行为实施监督管理。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13.负责标准化管理工作。依法对国家标准、行业标准、地方标准、企业标准的管理和检查。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14.负责检验检测机构监督管理工作。规范检验检测行为，完善检验检测体系，指导协调检验检测行业发展。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15.负责认证认可管理、监督和协调工作。组织实施国家统一的认证认可和合格评定监督管理制度。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16.负责知识产权管理工作。负责保护知识产权，统筹指导知识产权保护体系建设。承担职责范围内的知识产权行政裁决。统筹协调涉外知识产权事宜。促进知识产权运用，统筹指导知识产权公共服务体系建设。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17.负责市场监督管理科技和信息化建设、新闻宣传等工作。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18.完成县委、县政府交办的其他任务。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（二）2023年度重点工作任务概述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1.狠抓经营主体培育工作。截至2023年底，我县已完成市场主体培育25</w:t>
      </w:r>
      <w:r>
        <w:rPr>
          <w:rFonts w:hint="default" w:eastAsia="方正仿宋_GBK" w:cs="Times New Roman"/>
          <w:sz w:val="32"/>
          <w:szCs w:val="32"/>
          <w:lang w:val="en-US"/>
        </w:rPr>
        <w:t>,</w:t>
      </w:r>
      <w:r>
        <w:rPr>
          <w:rFonts w:hint="default" w:ascii="Times New Roman" w:hAnsi="Times New Roman" w:eastAsia="方正仿宋_GBK" w:cs="Times New Roman"/>
          <w:sz w:val="32"/>
          <w:szCs w:val="32"/>
        </w:rPr>
        <w:t>279户，较2022年净增4</w:t>
      </w:r>
      <w:r>
        <w:rPr>
          <w:rFonts w:hint="default" w:eastAsia="方正仿宋_GBK" w:cs="Times New Roman"/>
          <w:sz w:val="32"/>
          <w:szCs w:val="32"/>
          <w:lang w:val="en-US"/>
        </w:rPr>
        <w:t>,</w:t>
      </w:r>
      <w:r>
        <w:rPr>
          <w:rFonts w:hint="default" w:ascii="Times New Roman" w:hAnsi="Times New Roman" w:eastAsia="方正仿宋_GBK" w:cs="Times New Roman"/>
          <w:sz w:val="32"/>
          <w:szCs w:val="32"/>
        </w:rPr>
        <w:t>155户，完成净增1</w:t>
      </w:r>
      <w:r>
        <w:rPr>
          <w:rFonts w:hint="default" w:eastAsia="方正仿宋_GBK" w:cs="Times New Roman"/>
          <w:sz w:val="32"/>
          <w:szCs w:val="32"/>
          <w:lang w:val="en-US"/>
        </w:rPr>
        <w:t>,</w:t>
      </w:r>
      <w:r>
        <w:rPr>
          <w:rFonts w:hint="default" w:ascii="Times New Roman" w:hAnsi="Times New Roman" w:eastAsia="方正仿宋_GBK" w:cs="Times New Roman"/>
          <w:sz w:val="32"/>
          <w:szCs w:val="32"/>
        </w:rPr>
        <w:t>978户指标任务的210.06%（千人拥有市场主体数为17</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个，千人拥有企业数为20个）。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持续优化营商环境，提升综合监管效能。编制“一窗通”网上办事指南提供给申请主体翻阅，梳理开办企业流程图公示公开，配备专区工作人员全程导办、帮办。审批制度由“一审一核”优化为“审核合一、一人通办”，进一步简化内部审核流程，将0.5个工作日登记时限压缩至0.5个工作时内办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严守市场安全底线。聚力食品安全工作，全年组织开展联合检查12次，食品安全专项整治13个，共检查食品生产、经营、餐饮单位经营主体2,234户次，完成国家级、省级、市级食品抽检697批次。夯实药械化监管能力，强化对全县药品经营企业药品及医疗器械使用单位化妆品经营及使用单位的全覆盖监管，依托全国安全用药月系列活动，推动“合理用药”下基层进农村，引导群众树立正确的健康观念，</w:t>
      </w:r>
      <w:r>
        <w:rPr>
          <w:rFonts w:hint="eastAsia" w:eastAsia="方正仿宋_GBK" w:cs="Times New Roman"/>
          <w:sz w:val="32"/>
          <w:szCs w:val="32"/>
          <w:lang w:eastAsia="zh-CN"/>
        </w:rPr>
        <w:t>铸牢</w:t>
      </w:r>
      <w:r>
        <w:rPr>
          <w:rFonts w:hint="default" w:ascii="Times New Roman" w:hAnsi="Times New Roman" w:eastAsia="方正仿宋_GBK" w:cs="Times New Roman"/>
          <w:sz w:val="32"/>
          <w:szCs w:val="32"/>
        </w:rPr>
        <w:t>用药安全“防火墙”，农村药品乱象得到有效遏制。着力提升特种设备监管工作。深入开展城镇燃气安全、电梯等专项整治行动，防范化解重大安全风险，切实保障人民群众生命安全。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国卫复审工作取得突破。认真落实省、市、县《推进健康县城建设三年行动方案》，对标健康县城、文明县城、国卫复审工作的指标体系，进一步调整充实领导小组，结合职责将健康县城创建工作“食安心”“除四害”行动中的重点任务进行分解，建立“一把手”负总责，分管领导具体抓，班子成员包保划片负责工作机制，组织动员全局干部职工参与创建工作。督促商户完成“三防”安装的工作难题得以突破，通过采取约谈市场方、下发责令改正通知书和规范经营告知书等手段，集贸市场管理有较大改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5.统筹推进各项重点工作。加强部门联动开展好“扫黄打非”工作，与宣传、政法、公安、文化等部门开展联合执法行动，对快递、物流、</w:t>
      </w:r>
      <w:bookmarkStart w:id="0" w:name="_GoBack"/>
      <w:r>
        <w:rPr>
          <w:rFonts w:hint="default" w:ascii="Times New Roman" w:hAnsi="Times New Roman" w:eastAsia="方正仿宋_GBK" w:cs="Times New Roman"/>
          <w:b w:val="0"/>
          <w:bCs w:val="0"/>
          <w:sz w:val="32"/>
          <w:szCs w:val="32"/>
        </w:rPr>
        <w:t>KTV</w:t>
      </w:r>
      <w:bookmarkEnd w:id="0"/>
      <w:r>
        <w:rPr>
          <w:rFonts w:hint="default" w:ascii="Times New Roman" w:hAnsi="Times New Roman" w:eastAsia="方正仿宋_GBK" w:cs="Times New Roman"/>
          <w:sz w:val="32"/>
          <w:szCs w:val="32"/>
        </w:rPr>
        <w:t>、网吧等市场主体进行检查；开展涉众涉稳风险隐患排查，将打击传销创建无传销城市﹑无传销社区﹙村﹚工作有机结合同步开展；以公平竞争审查制度落实情况为依托，深入推进反不正当竞争执法，营造全县公平竞争的市场环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（一）机构设置情况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我部门共设置6个内设机构，包括：办公室、执法稽查股、市场规范监督管理股、质量技术监督管理股、食品监督管理股（食安办）和药品医疗器械监管股，所属单位2个，分别是：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1.峨山彝族自治县消费者协会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2.峨山彝族自治县食品药品检验所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（二）决算单位构成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纳入峨山彝族自治县市场监督管理局2023年度部门决算编报的单位共3个。其中：行政单位1个，参照公务员法管理的事业单位0个，其他事业单位2个。分别是：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1.峨山彝族自治县市场监督管理局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2.峨山彝族自治县消费者协会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3.峨山彝族自治县食品药品检验所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纳入峨山彝族自治县市场监督管理局2023年度部门决算编报的单位与我部门所属单位范围保持一致。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（三）部门人员和车辆的编制及实有情况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市场监督管理局2023年末实有人员编制62人。其中：行政编制54人（含行政工勤编制6人），事业编制8人（含参公管理事业编制0人）；在职在编实有行政人员54人（含行政工勤人员6人），参照公务员法管理事业人员0人，非参公管理事业人员8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年末尚未移交养老保险基金发放养老金的离退休人员共计1人（离休1人，退休0人）。年末由养老保险基金发放养老金的离退休人员45人（离休0人，退休45人）。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年末其他人员8人。其中：一般公共预算财政拨款开支人员0人，政府性基金预算财政拨款开支人员0人。年末学生0人。年末遗属8人。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车辆编制15辆，在编实有车辆15辆。</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第二部分  2023年度部门决算表</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（详见附件）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本部门2023年度无政府性基金预算财政拨款收入，也无使用政府性基金预算财政拨款收入安排的支出，故《政府性基金预算财政拨款收入支出决算表》为空表。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本部门2023年度无国有资本经营预算财政拨款收入，也无使用国有资本经营预算财政拨款收入安排的支出，故《国有资本经营预算财政拨款收入支出决算表》为空表。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第三部分  2023年度部门决算情况说明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市场监督管理局2023年度收入合计12,012,609.01元。其中：财政拨款收入11,952,479.01元，占总收入的99.50%；上级补助收入0.00元，占总收入的0.00%；事业收入0.00元（含教育收费元），占总收入的0.00%；经营收入0.00元，占总收入的0.00%；附属单位上缴收入0.00元，占总收入的0.00%；其他收入60,130.00元，占总收入的0.50%。与上年相比，收入合计减少769,565.51元，下降</w:t>
      </w:r>
      <w:r>
        <w:rPr>
          <w:rFonts w:hint="eastAsia" w:ascii="Times New Roman" w:hAnsi="Times New Roman" w:eastAsia="方正仿宋_GBK" w:cs="Times New Roman"/>
          <w:sz w:val="32"/>
          <w:szCs w:val="32"/>
          <w:lang w:val="en-US" w:eastAsia="zh-CN"/>
        </w:rPr>
        <w:t>6.02</w:t>
      </w:r>
      <w:r>
        <w:rPr>
          <w:rFonts w:hint="default" w:ascii="Times New Roman" w:hAnsi="Times New Roman" w:eastAsia="方正仿宋_GBK" w:cs="Times New Roman"/>
          <w:sz w:val="32"/>
          <w:szCs w:val="32"/>
        </w:rPr>
        <w:t>%，主要原因是财政资金紧张，未能按年初预算拨付住房公积金和部分公务用车经费。其中：财政拨款收入减少828,975.51元，下降6.49%，主要原因是财政资金紧张，未能按年初预算拨付部分公务用车经费和住房公积金；上级补助收入增加0.00元，增长0.00%；事业收入增加0.00元，增长0.00%；经营收入增加0.00元，增长0.00%；附属单位上缴收入增加0.00元，增长0.00%；其他收入增加59,410.00元，增长8,251.39%，主要原因是烟草公司与我单位办案协作经费及人民法院返还惩罚性赔偿金列入其他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市场监督管理局2023年度支出合计11,952,899.99元。其中：基本支出11,597,605.19元，占总支出的97.03%；项目支出355,294.80元，占总支出的2.97%；上缴上级支出0.00元，占总支出的0.00％；经营支出0.00元，占总支出的0.00％；对附属单位补助支出0.00元，占总支出的0.00％。与上年相比，支出合计减少919,181.74元，下降7.14%。其中：基本支出减少1,074,476.54元，下降8.48%，主要原因是落实县委、县政府过“紧日子”的要求，秉持节俭原则，减少一般性支出和非刚性的支出；项目支出增加155,294.80元，增长77.65%，主要原因是2023年支付死亡抚恤金；上缴上级支出增加0.00元，增长0.00%；经营支出增加0.00元，增长0.00%；对附属单位补助支出增加0.00元，增长0.00%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2023年度用于保障峨山彝族自治县市场监督管理局机关、下属事业单位等机构正常运转的日常支出11,597,605.19元。其中：基本工资、津贴补贴等人员经费支出10,793,878.49元，占基本支出的93.07％；办公费、印刷费、水电费、办公设备购置等公用经费803,726.70元，占基本支出的6.93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（二）项目支出情况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用于保障峨山彝族自治县市场监督管理局机构、下属事业单位等机构为完成特定的行政工作任务或事业发展目标，用于专项业务工作的经费支出355,294.80元。其中：基本建设类项目支出0.00元。具体项目开支及开展工作情况：峨山县爱国卫生运动市场监管专项补助经费（玉财社〔</w:t>
      </w:r>
      <w:r>
        <w:rPr>
          <w:rFonts w:hint="eastAsia"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〕30号）50,000.00元，机关事业单位遗属人员生活困难补助经费（峨财预调〔</w:t>
      </w:r>
      <w:r>
        <w:rPr>
          <w:rFonts w:hint="eastAsia" w:eastAsia="方正仿宋_GBK" w:cs="Times New Roman"/>
          <w:sz w:val="32"/>
          <w:szCs w:val="32"/>
          <w:lang w:val="en-US" w:eastAsia="zh-CN"/>
        </w:rPr>
        <w:t>2023</w:t>
      </w:r>
      <w:r>
        <w:rPr>
          <w:rFonts w:hint="default" w:ascii="Times New Roman" w:hAnsi="Times New Roman" w:eastAsia="方正仿宋_GBK" w:cs="Times New Roman"/>
          <w:sz w:val="32"/>
          <w:szCs w:val="32"/>
        </w:rPr>
        <w:t>〕10号）75,780.00元，峨山县市场监管局离退休人员死亡抚恤金、丧葬经费（峨财预调〔</w:t>
      </w:r>
      <w:r>
        <w:rPr>
          <w:rFonts w:hint="eastAsia" w:eastAsia="方正仿宋_GBK" w:cs="Times New Roman"/>
          <w:sz w:val="32"/>
          <w:szCs w:val="32"/>
          <w:lang w:val="en-US" w:eastAsia="zh-CN"/>
        </w:rPr>
        <w:t>2023</w:t>
      </w:r>
      <w:r>
        <w:rPr>
          <w:rFonts w:hint="default" w:ascii="Times New Roman" w:hAnsi="Times New Roman" w:eastAsia="方正仿宋_GBK" w:cs="Times New Roman"/>
          <w:sz w:val="32"/>
          <w:szCs w:val="32"/>
        </w:rPr>
        <w:t>〕10号）229,514.80元。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三、一般公共预算财政拨款支出决算情况说明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峨山彝族自治县市场监督管理局2023年度一般公共预算财政拨款支出11,952,479.01元,占本年支出合计的99.99%。与上年相比减少828,975.51元，下降</w:t>
      </w:r>
      <w:r>
        <w:rPr>
          <w:rFonts w:hint="eastAsia" w:ascii="Times New Roman" w:hAnsi="Times New Roman" w:eastAsia="方正仿宋_GBK" w:cs="Times New Roman"/>
          <w:sz w:val="32"/>
          <w:szCs w:val="32"/>
          <w:lang w:val="en-US" w:eastAsia="zh-CN"/>
        </w:rPr>
        <w:t>6.50</w:t>
      </w:r>
      <w:r>
        <w:rPr>
          <w:rFonts w:hint="default" w:ascii="Times New Roman" w:hAnsi="Times New Roman" w:eastAsia="方正仿宋_GBK" w:cs="Times New Roman"/>
          <w:sz w:val="32"/>
          <w:szCs w:val="32"/>
        </w:rPr>
        <w:t>%，主要原因是财政资金紧张，未能按年初预算拨付部分公务用车经费和住房公积金。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（二）一般公共预算财政拨款支出决算具体情况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1.一般公共服务（类）支出8,695,174.53元，占一般公共预算财政拨款总支出的72.75%。主要用于行政运行、事业运行及其他市场监督管理事务支出。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2.外交（类）支出0.00元，占一般公共预算财政拨款总支出的0.00%。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3.国防（类）支出0.00元，占一般公共预算财政拨款总支出的0.00%。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4.公共安全（类）支出0.00元，占一般公共预算财政拨款总支出的0.00%。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5.教育（类）支出0.00元，占一般公共预算财政拨款总支出的0.00%。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6.科学技术（类）支出0.00元，占一般公共预算财政拨款总支出的0.00%。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7.文化旅游体育与传媒（类）支出0.00元，占一般公共预算财政拨款总支出的0.00%。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8.社会保障和就业（类）支出2,060,337.10元，占一般公共预算财政拨款总支出的17.24%。主要用于单位基本养老保险缴费、死亡抚恤金发放、离退休及养老支出。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9.卫生健康（类）支出669,317.38元，占一般公共预算财政拨款总支出的5.60%。主要用于行政、事业单位基本医疗支出。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10.节能环保（类）支出0.00元，占一般公共预算财政拨款总支出的0.00%。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11.城乡社区（类）支出0.00元，占一般公共预算财政拨款总支出的0.00%。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12.农林水（类）支出0.00元，占一般公共预算财政拨款总支出的0.00%。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13.交通运输（类）支出0.00元，占一般公共预算财政拨款总支出的0.00%。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14.资源勘探工业信息等（类）支出0.00元，占一般公共预算财政拨款总支出的0.00%。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15.商业服务业等（类）支出0.00元，占一般公共预算财政拨款总支出的0.00%。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16.金融（类）支出0.00元，占一般公共预算财政拨款总支出的0.00%。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17.援助其他地区（类）支出0.00元，占一般公共预算财政拨款总支出的0.00%。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18.自然资源海洋气象等（类）支出0.00元，占一般公共预算财政拨款总支出的0.00%。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19.住房保障（类）支出527,650.00元，占一般公共预算财政拨款总支出的4.41%。主要用于在职人员住房公积金支出。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20.粮油物资储备（类）支出0.00元，占一般公共预算财政拨款总支出的0.00%。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21.国有资本经营预算（类）支出0.00元，占一般公共预算财政拨款总支出的0.00%。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22.灾害防治及应急管理（类）支出0.00元，占一般公共预算财政拨款总支出的0.00%。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23.其他（类）支出0.00元，占一般公共预算财政拨款总支出的0.00%。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24.债务还本（类）支出0.00元，占一般公共预算财政拨款总支出的0.00%。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25.债务付息（类）支出0.00元，占一般公共预算财政拨款总支出的0.00%。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26.抗疫特别国债安排（类）支出0.00元，占一般公共预算财政拨款总支出的0.00%。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方正仿宋_GBK" w:cs="Times New Roman"/>
          <w:b w:val="0"/>
          <w:bCs w:val="0"/>
          <w:sz w:val="32"/>
          <w:szCs w:val="32"/>
        </w:rPr>
        <w:t>2023年度财政拨款“三公”经费支出决算中，财政拨款“三公”经费支出年初预算为230,000.00元，决算为59,318.22元，完成年初预算的25.79%。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230,000.00元，决算为57,633.22元，占财政拨款“三公”经费总支出决算的97.16%，完成年初预算的25.06%；公务接待费支出年初预算为0.00元，决算为1,685.00元，占财政拨款“三公”经费总支出决算的2.84%，完成年初预算</w:t>
      </w:r>
      <w:r>
        <w:rPr>
          <w:rFonts w:hint="eastAsia" w:ascii="Times New Roman" w:hAnsi="Times New Roman" w:eastAsia="方正仿宋_GBK" w:cs="Times New Roman"/>
          <w:b w:val="0"/>
          <w:bCs w:val="0"/>
          <w:sz w:val="32"/>
          <w:szCs w:val="32"/>
          <w:lang w:val="en-US" w:eastAsia="zh-CN"/>
        </w:rPr>
        <w:t>100</w:t>
      </w:r>
      <w:r>
        <w:rPr>
          <w:rFonts w:hint="default" w:ascii="Times New Roman" w:hAnsi="Times New Roman" w:eastAsia="方正仿宋_GBK" w:cs="Times New Roman"/>
          <w:b w:val="0"/>
          <w:bCs w:val="0"/>
          <w:sz w:val="32"/>
          <w:szCs w:val="32"/>
        </w:rPr>
        <w:t>.00%，具体是国内接待费支出决算1,685.00元（其中：外事接待费支出决算0.00元），国（境）外接待费支出决算0.00元。其中：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(一)一般公共预算财政拨款“三公”经费支出决算总体情况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峨山彝族自治县市场监督管理局2023年度一般公共预算财政拨款“三公”经费支出年初预算为230,000.00元，支出决算为59,318.22元，完成年初预算的25.79%。其中：因公出国（境）费支出年初预算为0.00元，决算为0.00元，完成年初预算的0.00%；公务用车购置费支出年初预算为0.00元，决算为0.00元，完成年初预算的0.00%；公务用车运行维护费支出年初预算为230,000.00元，决算为57,633.22元，完成年初预算的25.06%；公务接待费支出年初预算为0.00元，决算为1,685.00元，完成年初预算的100.00%。2023年度一般公共预算财政拨款“三公”经费支出决算数小于年初预算数的主要原因是财政资金紧张，部分公务用车运行维护费未得列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预算财政拨款“三公”经费支出决算数比上年增加18,690.27元，增长46.00%。其中：因公出国（境）费支出决算增加0.00元，增长0.00%；公务用车购置费支出决算增加0.00元，增长0.00%；公务用车运行维护费支出决算增加24,547.27元，增长74.19%，主要原因是2023年执法电瓶车保险险种增加，保费上涨；公务接待费支出决算减少5,857.00元，下降77.66%，主要原因是财政资金紧张，公务接待报销较少。2023年度一般公共预算财政拨款“三公”经费支出决算增加的主要原因是执法电瓶车保险险种增加，保费上涨，上涨数大于公务接待费减少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 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1.安排因公出国（境）团组0个，累计0人次。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2.购置车辆0辆。开支一般公共预算财政拨款的公务用车保有量为15辆。主要用于开展市场监管日常行政执法工作所需车辆燃料费、维修费、过路过桥费、保险费等。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3.安排国内公务接待6批次（其中：外事接待0批次），接待人次24人（其中：外事接待人次0人）。主要用于上级单位督查市场监管工作、专项调研等方面发生的接待支出。安排国（境）外公务接待0批次，接待人次0人。</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市场监督管理局2023年机关运行经费支出803,305.72元，比上年减少443,963.07元，下降35.59%，主要原因是2023年食品监管村组信息员、协管员工资由各乡镇发放，未经本单位统一发放。单位机关运行经费主要用于办公费77,578.00元、水费1,177.40元、电费10,738.84元、邮电费29,059.92元、差旅费10,230.50元、维修费240.00元、租赁费645.00元、公务接待费1,685.00元、劳务费85,404.58元、工会经费25,200.00元、公务用车运行维护费57,633.22元、其他交通费用491,950.00元、其他商品和服务支出11,763.26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末，峨山彝族自治县市场监督管理局资产总额3,302,117.18元，其中，流动资产622,916.43元，固定资产2,661,161.23元（净值），对外投资及有价证券0.00元，在建工程0.00元，无形资产18,039.52元（净值），其他资产0.00元（净值）（具体内容详见附表）。与上年相比，本年资产总额减少246,917.31元，其中固定资产减少242,623.44元。处置房屋建筑物0.00平方米，账面原值0.00元；处置车辆0辆，账面原值0.00元；报废报损资产0项，账面原值0.00元，实现资产处置收入0.00元；出租房屋200.00平方米，账面原值155,100.00元，实现资产使用收入57,069.27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（国有资产占有使用情况表详见附表）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2023年度，单位政府采购支出总额</w:t>
      </w:r>
      <w:r>
        <w:rPr>
          <w:rFonts w:hint="default" w:ascii="Times New Roman" w:hAnsi="Times New Roman" w:eastAsia="方正仿宋_GBK" w:cs="Times New Roman"/>
          <w:color w:val="auto"/>
          <w:sz w:val="32"/>
          <w:szCs w:val="32"/>
          <w:lang w:val="en-US" w:eastAsia="zh-CN"/>
        </w:rPr>
        <w:t>32,725.53</w:t>
      </w:r>
      <w:r>
        <w:rPr>
          <w:rFonts w:hint="default" w:ascii="Times New Roman" w:hAnsi="Times New Roman" w:eastAsia="方正仿宋_GBK" w:cs="Times New Roman"/>
          <w:color w:val="auto"/>
          <w:sz w:val="32"/>
          <w:szCs w:val="32"/>
        </w:rPr>
        <w:t>元，其中：政府采购货物支出</w:t>
      </w:r>
      <w:r>
        <w:rPr>
          <w:rFonts w:hint="default" w:ascii="Times New Roman" w:hAnsi="Times New Roman" w:eastAsia="方正仿宋_GBK" w:cs="Times New Roman"/>
          <w:color w:val="auto"/>
          <w:sz w:val="32"/>
          <w:szCs w:val="32"/>
          <w:lang w:val="en-US" w:eastAsia="zh-CN"/>
        </w:rPr>
        <w:t>5,000.00</w:t>
      </w:r>
      <w:r>
        <w:rPr>
          <w:rFonts w:hint="default" w:ascii="Times New Roman" w:hAnsi="Times New Roman" w:eastAsia="方正仿宋_GBK" w:cs="Times New Roman"/>
          <w:color w:val="auto"/>
          <w:sz w:val="32"/>
          <w:szCs w:val="32"/>
        </w:rPr>
        <w:t>元；政府采购工程支出</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rPr>
        <w:t>元；政府采购服务支出</w:t>
      </w:r>
      <w:r>
        <w:rPr>
          <w:rFonts w:hint="default" w:ascii="Times New Roman" w:hAnsi="Times New Roman" w:eastAsia="方正仿宋_GBK" w:cs="Times New Roman"/>
          <w:color w:val="auto"/>
          <w:sz w:val="32"/>
          <w:szCs w:val="32"/>
          <w:lang w:val="en-US" w:eastAsia="zh-CN"/>
        </w:rPr>
        <w:t>27,725.53</w:t>
      </w:r>
      <w:r>
        <w:rPr>
          <w:rFonts w:hint="default" w:ascii="Times New Roman" w:hAnsi="Times New Roman" w:eastAsia="方正仿宋_GBK" w:cs="Times New Roman"/>
          <w:color w:val="auto"/>
          <w:sz w:val="32"/>
          <w:szCs w:val="32"/>
        </w:rPr>
        <w:t>元。授予中小企业合同金额</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rPr>
        <w:t>元，其中：授予小微企业合同金额</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rPr>
        <w:t>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部门绩效自评情况详见附表。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峨山彝族自治县市场监督管理局</w:t>
      </w:r>
      <w:r>
        <w:rPr>
          <w:rFonts w:hint="eastAsia" w:ascii="Times New Roman" w:hAnsi="Times New Roman" w:eastAsia="方正仿宋_GBK" w:cs="Times New Roman"/>
          <w:sz w:val="32"/>
          <w:szCs w:val="32"/>
          <w:lang w:val="en-US" w:eastAsia="zh-CN"/>
        </w:rPr>
        <w:t>无</w:t>
      </w:r>
      <w:r>
        <w:rPr>
          <w:rFonts w:hint="default" w:ascii="Times New Roman" w:hAnsi="Times New Roman" w:eastAsia="方正仿宋_GBK" w:cs="Times New Roman"/>
          <w:sz w:val="32"/>
          <w:szCs w:val="32"/>
        </w:rPr>
        <w:t>其他重要事项情况说明。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（二）机关运行经费指行政单位和参照公务员法管理的事业单位使用一般公共预算财政拨款安排的基本支出中的公用经费支出。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第五部分  名词解释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32"/>
          <w:szCs w:val="32"/>
        </w:rPr>
      </w:pPr>
    </w:p>
    <w:p>
      <w:pPr>
        <w:rPr>
          <w:rFonts w:ascii="Arial" w:hAnsi="Arial" w:eastAsia="Arial" w:cs="Arial"/>
          <w:b/>
          <w:sz w:val="36"/>
        </w:rPr>
      </w:pPr>
      <w:r>
        <w:rPr>
          <w:rFonts w:ascii="Arial" w:hAnsi="Arial" w:eastAsia="Arial" w:cs="Arial"/>
          <w:b/>
          <w:sz w:val="36"/>
        </w:rPr>
        <w:t>监督索引号53042600471501111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1Njk5YjQ5YWFiNDVkZWE3OGYyMWRhMWRhNTAwZGUifQ=="/>
  </w:docVars>
  <w:rsids>
    <w:rsidRoot w:val="00000000"/>
    <w:rsid w:val="064A5629"/>
    <w:rsid w:val="08911C12"/>
    <w:rsid w:val="0C1E0E4F"/>
    <w:rsid w:val="0E752194"/>
    <w:rsid w:val="14580DB3"/>
    <w:rsid w:val="1A1317B4"/>
    <w:rsid w:val="224C487D"/>
    <w:rsid w:val="22F21707"/>
    <w:rsid w:val="242142E2"/>
    <w:rsid w:val="250F3C45"/>
    <w:rsid w:val="28E43F84"/>
    <w:rsid w:val="2B3C7A60"/>
    <w:rsid w:val="2B46084A"/>
    <w:rsid w:val="2D8B3B80"/>
    <w:rsid w:val="2FDC57A2"/>
    <w:rsid w:val="38B36EDA"/>
    <w:rsid w:val="39FE1B19"/>
    <w:rsid w:val="3CF14232"/>
    <w:rsid w:val="3E167963"/>
    <w:rsid w:val="3E1E1860"/>
    <w:rsid w:val="416A610E"/>
    <w:rsid w:val="428E1141"/>
    <w:rsid w:val="44C32893"/>
    <w:rsid w:val="466E6E96"/>
    <w:rsid w:val="46BD4A69"/>
    <w:rsid w:val="4B7E2907"/>
    <w:rsid w:val="4E9A3D51"/>
    <w:rsid w:val="50A22815"/>
    <w:rsid w:val="5717477E"/>
    <w:rsid w:val="5B4617BC"/>
    <w:rsid w:val="636B2516"/>
    <w:rsid w:val="68075843"/>
    <w:rsid w:val="76BA5FE6"/>
    <w:rsid w:val="799A1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Times New Roman" w:hAnsi="Times New Roman" w:eastAsia="宋体" w:cs="Times New Roman"/>
      <w:kern w:val="2"/>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3"/>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2024-11-06T08:31:12Z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E110201F2FEC4DDE85A0120CE3042BCB_12</vt:lpwstr>
  </property>
  <property fmtid="{D5CDD505-2E9C-101B-9397-08002B2CF9AE}" pid="3" name="KSOProductBuildVer">
    <vt:lpwstr>2052-11.8.2.12085</vt:lpwstr>
  </property>
</Properties>
</file>