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3D3" w:rsidRPr="0069588A" w:rsidRDefault="00E473C1">
      <w:pPr>
        <w:spacing w:line="590" w:lineRule="exact"/>
        <w:rPr>
          <w:rFonts w:ascii="Times New Roman" w:eastAsia="方正仿宋_GBK" w:hAnsi="Times New Roman" w:cs="Times New Roman"/>
          <w:sz w:val="32"/>
          <w:szCs w:val="32"/>
        </w:rPr>
      </w:pPr>
      <w:r w:rsidRPr="0069588A">
        <w:rPr>
          <w:rFonts w:ascii="Arial" w:eastAsia="Arial" w:hAnsi="Arial" w:cs="Times New Roman"/>
          <w:b/>
          <w:bCs/>
          <w:sz w:val="32"/>
          <w:szCs w:val="32"/>
        </w:rPr>
        <w:t>监督索引号53042800236101000</w:t>
      </w:r>
    </w:p>
    <w:p w:rsidR="007A43D3" w:rsidRPr="00F870DC" w:rsidRDefault="00E473C1">
      <w:pPr>
        <w:spacing w:line="590" w:lineRule="exact"/>
        <w:jc w:val="center"/>
        <w:rPr>
          <w:rFonts w:ascii="方正小标宋简体" w:eastAsia="方正小标宋简体" w:hAnsi="Times New Roman" w:cs="Times New Roman"/>
          <w:sz w:val="36"/>
          <w:szCs w:val="36"/>
        </w:rPr>
      </w:pPr>
      <w:r w:rsidRPr="00F870DC">
        <w:rPr>
          <w:rFonts w:ascii="方正小标宋简体" w:eastAsia="方正小标宋简体" w:hAnsi="方正小标宋_GBK" w:cs="方正小标宋_GBK" w:hint="eastAsia"/>
          <w:sz w:val="36"/>
          <w:szCs w:val="36"/>
        </w:rPr>
        <w:t>元江哈尼族彝族傣族自治县卫生健康局</w:t>
      </w:r>
      <w:r w:rsidR="00F870DC">
        <w:rPr>
          <w:rFonts w:ascii="方正小标宋简体" w:eastAsia="方正小标宋简体" w:hAnsi="方正小标宋_GBK" w:cs="方正小标宋_GBK" w:hint="eastAsia"/>
          <w:sz w:val="36"/>
          <w:szCs w:val="36"/>
        </w:rPr>
        <w:t xml:space="preserve">               </w:t>
      </w:r>
      <w:r w:rsidRPr="00F870DC">
        <w:rPr>
          <w:rFonts w:ascii="方正小标宋简体" w:eastAsia="方正小标宋简体" w:hAnsi="方正小标宋_GBK" w:cs="方正小标宋_GBK" w:hint="eastAsia"/>
          <w:sz w:val="36"/>
          <w:szCs w:val="36"/>
        </w:rPr>
        <w:t>2023年度部门决算</w:t>
      </w:r>
    </w:p>
    <w:p w:rsidR="007A43D3" w:rsidRPr="00F870DC" w:rsidRDefault="007A43D3">
      <w:pPr>
        <w:spacing w:line="590" w:lineRule="exact"/>
        <w:ind w:firstLineChars="200" w:firstLine="640"/>
        <w:rPr>
          <w:rFonts w:ascii="方正小标宋简体" w:eastAsia="方正小标宋简体" w:hAnsi="Times New Roman" w:cs="Times New Roman"/>
          <w:sz w:val="32"/>
          <w:szCs w:val="32"/>
        </w:rPr>
      </w:pPr>
    </w:p>
    <w:p w:rsidR="007A43D3" w:rsidRPr="00F870DC" w:rsidRDefault="00E473C1">
      <w:pPr>
        <w:spacing w:line="590" w:lineRule="exact"/>
        <w:jc w:val="center"/>
        <w:rPr>
          <w:rFonts w:ascii="方正小标宋简体" w:eastAsia="方正小标宋简体" w:hAnsi="Times New Roman" w:cs="Times New Roman"/>
          <w:sz w:val="36"/>
          <w:szCs w:val="36"/>
        </w:rPr>
      </w:pPr>
      <w:r w:rsidRPr="00F870DC">
        <w:rPr>
          <w:rFonts w:ascii="方正小标宋简体" w:eastAsia="方正小标宋简体" w:hAnsi="Times New Roman" w:cs="Times New Roman" w:hint="eastAsia"/>
          <w:sz w:val="36"/>
          <w:szCs w:val="36"/>
        </w:rPr>
        <w:t>目录</w:t>
      </w:r>
    </w:p>
    <w:p w:rsidR="007A43D3" w:rsidRPr="0069588A" w:rsidRDefault="00E473C1" w:rsidP="0069588A">
      <w:pPr>
        <w:spacing w:line="590" w:lineRule="exact"/>
        <w:rPr>
          <w:rFonts w:ascii="黑体" w:eastAsia="黑体" w:hAnsi="黑体" w:cs="Times New Roman"/>
          <w:sz w:val="30"/>
          <w:szCs w:val="30"/>
        </w:rPr>
      </w:pPr>
      <w:r w:rsidRPr="0069588A">
        <w:rPr>
          <w:rFonts w:ascii="黑体" w:eastAsia="黑体" w:hAnsi="黑体" w:cs="方正黑体_GBK" w:hint="eastAsia"/>
          <w:sz w:val="30"/>
          <w:szCs w:val="30"/>
        </w:rPr>
        <w:t>第一部分  部门概况</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一、主要职能</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二、部门基本情况</w:t>
      </w:r>
    </w:p>
    <w:p w:rsidR="007A43D3" w:rsidRPr="0069588A" w:rsidRDefault="00E473C1" w:rsidP="0069588A">
      <w:pPr>
        <w:spacing w:line="590" w:lineRule="exact"/>
        <w:rPr>
          <w:rFonts w:ascii="黑体" w:eastAsia="黑体" w:hAnsi="黑体" w:cs="方正楷体_GBK"/>
          <w:sz w:val="30"/>
          <w:szCs w:val="30"/>
        </w:rPr>
      </w:pPr>
      <w:r w:rsidRPr="0069588A">
        <w:rPr>
          <w:rFonts w:ascii="黑体" w:eastAsia="黑体" w:hAnsi="黑体" w:cs="方正黑体_GBK" w:hint="eastAsia"/>
          <w:sz w:val="30"/>
          <w:szCs w:val="30"/>
        </w:rPr>
        <w:t>第二部分  2023年度部门决算表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一、收入支出决算表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二、收入决算表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三、支出决算表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四、财政拨款收入支出决算总表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五、一般公共预算财政拨款收入支出决算表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六、一般公共预算财政拨款基本支出决算表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七、一般公共预算财政拨款项目支出决算表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八、政府性基金预算财政拨款收入支出决算表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九、国有资本经营预算财政拨款收入支出决算表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十、财政拨款“三公”经费、行政参公单位机关运行经费情况表</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十一、一般公共预算财政拨款“三公”经费情况表</w:t>
      </w:r>
    </w:p>
    <w:p w:rsidR="007A43D3" w:rsidRPr="0069588A" w:rsidRDefault="00E473C1" w:rsidP="0069588A">
      <w:pPr>
        <w:spacing w:line="590" w:lineRule="exact"/>
        <w:rPr>
          <w:rFonts w:ascii="黑体" w:eastAsia="黑体" w:hAnsi="黑体" w:cs="方正楷体_GBK"/>
          <w:sz w:val="30"/>
          <w:szCs w:val="30"/>
        </w:rPr>
      </w:pPr>
      <w:r w:rsidRPr="0069588A">
        <w:rPr>
          <w:rFonts w:ascii="黑体" w:eastAsia="黑体" w:hAnsi="黑体" w:cs="方正黑体_GBK" w:hint="eastAsia"/>
          <w:sz w:val="30"/>
          <w:szCs w:val="30"/>
        </w:rPr>
        <w:t>第三部分  2023年度部门决算情况说明</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一、收入决算情况说明</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lastRenderedPageBreak/>
        <w:t>二、支出决算情况说明</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三、一般公共预算财政拨款支出决算情况说明</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四、财政拨款“三公”经费支出决算情况说明</w:t>
      </w:r>
    </w:p>
    <w:p w:rsidR="007A43D3" w:rsidRPr="0069588A" w:rsidRDefault="00E473C1" w:rsidP="0069588A">
      <w:pPr>
        <w:spacing w:line="590" w:lineRule="exact"/>
        <w:rPr>
          <w:rFonts w:ascii="黑体" w:eastAsia="黑体" w:hAnsi="黑体" w:cs="方正楷体_GBK"/>
          <w:sz w:val="30"/>
          <w:szCs w:val="30"/>
        </w:rPr>
      </w:pPr>
      <w:r w:rsidRPr="0069588A">
        <w:rPr>
          <w:rFonts w:ascii="黑体" w:eastAsia="黑体" w:hAnsi="黑体" w:cs="方正黑体_GBK" w:hint="eastAsia"/>
          <w:sz w:val="30"/>
          <w:szCs w:val="30"/>
        </w:rPr>
        <w:t>第四部分  其他重要事项及相关口径情况说明</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一、机关运行经费支出情况</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二、国有资产占用情况</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三、政府采购支出情况</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四、</w:t>
      </w:r>
      <w:bookmarkStart w:id="0" w:name="OLE_LINK9"/>
      <w:bookmarkStart w:id="1" w:name="OLE_LINK10"/>
      <w:r w:rsidRPr="0069588A">
        <w:rPr>
          <w:rFonts w:ascii="楷体" w:eastAsia="楷体" w:hAnsi="楷体" w:cs="方正楷体_GBK" w:hint="eastAsia"/>
          <w:sz w:val="30"/>
          <w:szCs w:val="30"/>
        </w:rPr>
        <w:t>部门绩效自评</w:t>
      </w:r>
      <w:bookmarkEnd w:id="0"/>
      <w:bookmarkEnd w:id="1"/>
      <w:r w:rsidRPr="0069588A">
        <w:rPr>
          <w:rFonts w:ascii="楷体" w:eastAsia="楷体" w:hAnsi="楷体" w:cs="方正楷体_GBK" w:hint="eastAsia"/>
          <w:sz w:val="30"/>
          <w:szCs w:val="30"/>
        </w:rPr>
        <w:t>情况</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五、其他重要事项情况说明</w:t>
      </w:r>
    </w:p>
    <w:p w:rsidR="007A43D3" w:rsidRPr="0069588A" w:rsidRDefault="00E473C1" w:rsidP="0069588A">
      <w:pPr>
        <w:spacing w:line="590" w:lineRule="exact"/>
        <w:rPr>
          <w:rFonts w:ascii="楷体" w:eastAsia="楷体" w:hAnsi="楷体" w:cs="方正楷体_GBK"/>
          <w:sz w:val="30"/>
          <w:szCs w:val="30"/>
        </w:rPr>
      </w:pPr>
      <w:r w:rsidRPr="0069588A">
        <w:rPr>
          <w:rFonts w:ascii="楷体" w:eastAsia="楷体" w:hAnsi="楷体" w:cs="方正楷体_GBK" w:hint="eastAsia"/>
          <w:sz w:val="30"/>
          <w:szCs w:val="30"/>
        </w:rPr>
        <w:t>六、相关口径说明</w:t>
      </w:r>
    </w:p>
    <w:p w:rsidR="007A43D3" w:rsidRPr="0069588A" w:rsidRDefault="00E473C1" w:rsidP="0069588A">
      <w:pPr>
        <w:spacing w:line="590" w:lineRule="exact"/>
        <w:rPr>
          <w:rFonts w:ascii="黑体" w:eastAsia="黑体" w:hAnsi="黑体" w:cs="Times New Roman"/>
          <w:sz w:val="30"/>
          <w:szCs w:val="30"/>
        </w:rPr>
      </w:pPr>
      <w:r w:rsidRPr="0069588A">
        <w:rPr>
          <w:rFonts w:ascii="黑体" w:eastAsia="黑体" w:hAnsi="黑体" w:cs="方正黑体_GBK" w:hint="eastAsia"/>
          <w:sz w:val="30"/>
          <w:szCs w:val="30"/>
        </w:rPr>
        <w:t>第五部分  名词解释</w:t>
      </w:r>
    </w:p>
    <w:p w:rsidR="007A43D3" w:rsidRPr="0069588A" w:rsidRDefault="007A43D3" w:rsidP="0069588A">
      <w:pPr>
        <w:spacing w:line="590" w:lineRule="exact"/>
        <w:ind w:firstLineChars="200" w:firstLine="600"/>
        <w:rPr>
          <w:rFonts w:ascii="Times New Roman" w:eastAsia="方正仿宋_GBK" w:hAnsi="Times New Roman" w:cs="Times New Roman"/>
          <w:sz w:val="30"/>
          <w:szCs w:val="30"/>
        </w:rPr>
      </w:pPr>
    </w:p>
    <w:p w:rsidR="007A43D3" w:rsidRPr="0069588A" w:rsidRDefault="007A43D3" w:rsidP="0069588A">
      <w:pPr>
        <w:spacing w:line="590" w:lineRule="exact"/>
        <w:ind w:firstLineChars="200" w:firstLine="600"/>
        <w:rPr>
          <w:rFonts w:ascii="Times New Roman" w:eastAsia="方正仿宋_GBK" w:hAnsi="Times New Roman" w:cs="Times New Roman"/>
          <w:sz w:val="30"/>
          <w:szCs w:val="30"/>
        </w:rPr>
      </w:pPr>
    </w:p>
    <w:p w:rsidR="007A43D3" w:rsidRPr="0069588A" w:rsidRDefault="007A43D3" w:rsidP="0069588A">
      <w:pPr>
        <w:spacing w:line="590" w:lineRule="exact"/>
        <w:ind w:firstLineChars="200" w:firstLine="600"/>
        <w:rPr>
          <w:rFonts w:ascii="Times New Roman" w:eastAsia="方正仿宋_GBK" w:hAnsi="Times New Roman" w:cs="Times New Roman"/>
          <w:sz w:val="30"/>
          <w:szCs w:val="30"/>
        </w:rPr>
      </w:pPr>
    </w:p>
    <w:p w:rsidR="007A43D3" w:rsidRPr="0069588A" w:rsidRDefault="007A43D3" w:rsidP="0069588A">
      <w:pPr>
        <w:spacing w:line="590" w:lineRule="exact"/>
        <w:ind w:firstLineChars="200" w:firstLine="600"/>
        <w:rPr>
          <w:rFonts w:ascii="Times New Roman" w:eastAsia="方正仿宋_GBK" w:hAnsi="Times New Roman" w:cs="Times New Roman"/>
          <w:sz w:val="30"/>
          <w:szCs w:val="30"/>
        </w:rPr>
      </w:pPr>
    </w:p>
    <w:p w:rsidR="007A43D3" w:rsidRPr="0069588A" w:rsidRDefault="007A43D3" w:rsidP="0069588A">
      <w:pPr>
        <w:spacing w:line="590" w:lineRule="exact"/>
        <w:ind w:firstLineChars="200" w:firstLine="600"/>
        <w:rPr>
          <w:rFonts w:ascii="Times New Roman" w:eastAsia="方正仿宋_GBK" w:hAnsi="Times New Roman" w:cs="Times New Roman"/>
          <w:sz w:val="30"/>
          <w:szCs w:val="30"/>
        </w:rPr>
      </w:pPr>
    </w:p>
    <w:p w:rsidR="0069588A" w:rsidRDefault="0069588A">
      <w:pPr>
        <w:spacing w:line="590" w:lineRule="exact"/>
        <w:jc w:val="center"/>
        <w:rPr>
          <w:rFonts w:ascii="方正黑体_GBK" w:eastAsia="方正黑体_GBK" w:hAnsi="方正黑体_GBK" w:cs="方正黑体_GBK"/>
          <w:sz w:val="30"/>
          <w:szCs w:val="30"/>
        </w:rPr>
      </w:pPr>
    </w:p>
    <w:p w:rsidR="0069588A" w:rsidRDefault="0069588A">
      <w:pPr>
        <w:spacing w:line="590" w:lineRule="exact"/>
        <w:jc w:val="center"/>
        <w:rPr>
          <w:rFonts w:ascii="方正黑体_GBK" w:eastAsia="方正黑体_GBK" w:hAnsi="方正黑体_GBK" w:cs="方正黑体_GBK" w:hint="eastAsia"/>
          <w:sz w:val="30"/>
          <w:szCs w:val="30"/>
        </w:rPr>
      </w:pPr>
    </w:p>
    <w:p w:rsidR="00830AE1" w:rsidRDefault="00830AE1">
      <w:pPr>
        <w:spacing w:line="590" w:lineRule="exact"/>
        <w:jc w:val="center"/>
        <w:rPr>
          <w:rFonts w:ascii="方正黑体_GBK" w:eastAsia="方正黑体_GBK" w:hAnsi="方正黑体_GBK" w:cs="方正黑体_GBK" w:hint="eastAsia"/>
          <w:sz w:val="30"/>
          <w:szCs w:val="30"/>
        </w:rPr>
      </w:pPr>
    </w:p>
    <w:p w:rsidR="00830AE1" w:rsidRDefault="00830AE1">
      <w:pPr>
        <w:spacing w:line="590" w:lineRule="exact"/>
        <w:jc w:val="center"/>
        <w:rPr>
          <w:rFonts w:ascii="方正黑体_GBK" w:eastAsia="方正黑体_GBK" w:hAnsi="方正黑体_GBK" w:cs="方正黑体_GBK" w:hint="eastAsia"/>
          <w:sz w:val="30"/>
          <w:szCs w:val="30"/>
        </w:rPr>
      </w:pPr>
    </w:p>
    <w:p w:rsidR="00830AE1" w:rsidRDefault="00830AE1">
      <w:pPr>
        <w:spacing w:line="590" w:lineRule="exact"/>
        <w:jc w:val="center"/>
        <w:rPr>
          <w:rFonts w:ascii="方正黑体_GBK" w:eastAsia="方正黑体_GBK" w:hAnsi="方正黑体_GBK" w:cs="方正黑体_GBK" w:hint="eastAsia"/>
          <w:sz w:val="30"/>
          <w:szCs w:val="30"/>
        </w:rPr>
      </w:pPr>
    </w:p>
    <w:p w:rsidR="00830AE1" w:rsidRDefault="00830AE1">
      <w:pPr>
        <w:spacing w:line="590" w:lineRule="exact"/>
        <w:jc w:val="center"/>
        <w:rPr>
          <w:rFonts w:ascii="方正黑体_GBK" w:eastAsia="方正黑体_GBK" w:hAnsi="方正黑体_GBK" w:cs="方正黑体_GBK" w:hint="eastAsia"/>
          <w:sz w:val="30"/>
          <w:szCs w:val="30"/>
        </w:rPr>
      </w:pPr>
    </w:p>
    <w:p w:rsidR="007A43D3" w:rsidRPr="0069588A" w:rsidRDefault="00E473C1">
      <w:pPr>
        <w:spacing w:line="590" w:lineRule="exact"/>
        <w:jc w:val="center"/>
        <w:rPr>
          <w:rFonts w:ascii="黑体" w:eastAsia="黑体" w:hAnsi="黑体" w:cs="方正黑体_GBK"/>
          <w:sz w:val="32"/>
          <w:szCs w:val="32"/>
        </w:rPr>
      </w:pPr>
      <w:r w:rsidRPr="0069588A">
        <w:rPr>
          <w:rFonts w:ascii="黑体" w:eastAsia="黑体" w:hAnsi="黑体" w:cs="方正黑体_GBK" w:hint="eastAsia"/>
          <w:sz w:val="32"/>
          <w:szCs w:val="32"/>
        </w:rPr>
        <w:lastRenderedPageBreak/>
        <w:t>第一部分</w:t>
      </w:r>
      <w:r w:rsidR="00830AE1">
        <w:rPr>
          <w:rFonts w:ascii="黑体" w:eastAsia="黑体" w:hAnsi="黑体" w:cs="方正黑体_GBK" w:hint="eastAsia"/>
          <w:sz w:val="32"/>
          <w:szCs w:val="32"/>
        </w:rPr>
        <w:t xml:space="preserve">  </w:t>
      </w:r>
      <w:r w:rsidRPr="0069588A">
        <w:rPr>
          <w:rFonts w:ascii="黑体" w:eastAsia="黑体" w:hAnsi="黑体" w:cs="方正黑体_GBK" w:hint="eastAsia"/>
          <w:sz w:val="32"/>
          <w:szCs w:val="32"/>
        </w:rPr>
        <w:t>部门概况</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一、主要职能</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（一）主要职能</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贯彻执行国家、省、市、县有关卫生健康事业发展的法律法规和方针政策，组织拟订健康政策，拟订卫生健康事业发展政策、规划计划并组织实施。统筹规划卫生健康资源配置，指导卫生健康规划的编制和实施，加强卫生健康人才队伍建设，深化人才发展体制机制改革。制定并组织实施推进卫生健康基本公共服务均等化、普惠化、便捷化和公共资源向基层延伸等配套政策措施。</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协调推进深化医药卫生体制改革，研究提出贯彻落实深化医药卫生体制改革重大方针、政策、措施的建议。组织深化公立医院综合改革，推进管办分离，健全现代医院管理制度，制定并组织实施卫生健康公共服务提供主体多元化、方式多样化的政策措施，提出医疗服务价格政策建议。</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3.制定并组织落实疾病预防控制规划、免疫规划、严重危害人民健康公共卫生问题的干预措施。根据国家检疫传染病和监测传染病目录，负责卫生应急工作，组织指导突发公共卫生事件的监测评估、预防控制和各类突发公共事件的医疗卫生救援。</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4.组织拟订并协调落实应对人口老龄化政策措施，负责推进老年健康服务体系建设和医养结合工作。</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5.贯彻执行国家药物政策和国家基本药物制度，执行国家药品法典、国家基本药物目录和省药品增补目录，开展药品使用监测、</w:t>
      </w:r>
      <w:r w:rsidRPr="0069588A">
        <w:rPr>
          <w:rFonts w:ascii="仿宋_GB2312" w:eastAsia="仿宋_GB2312" w:hAnsi="Times New Roman" w:cs="Times New Roman" w:hint="eastAsia"/>
          <w:sz w:val="30"/>
          <w:szCs w:val="30"/>
        </w:rPr>
        <w:lastRenderedPageBreak/>
        <w:t>临床综合评价和短缺药品预警工作；组织开展食品安全企业标准备案及食品安全标准跟踪评价工作，开展餐饮具集中消毒服务单位卫生监督管理工作，开展食品安全标准的宣传及食品安全标准的释疑。开展食品安全风险监测，开展食源性疾病的流行病学的调查，开展全民营养计划。</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6.负责职责范围内的职业卫生、放射卫生、环境卫生、学校卫生、公共场所卫生、饮用水卫生等公共卫生的监督管理，组织传染病防治监督，健全卫生健康综合监督体系。协调相关部门做好《烟草控制框架公约》履约工作。</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7.贯彻执行医疗机构、医疗服务行业管理办法，建立医疗服务评价和监督管理体系。会同有关部门贯彻执行卫生健康专业技术人员资格标准。组织实施医疗服务规范、标准和卫生健康专业技术人员执业规则、服务规范。</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8.负责计划生育管理和服务工作，开展人口基础信息库建设和人口监测预警，研究提出人口与家庭发展相关政策建议，贯彻执行计划生育政策。</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9.组织指导基层开展卫生健康工作，指导基层医疗卫生、妇幼健康服务体系和全科医生队伍建设，完善基层医疗卫生健康管理制度和机制，推进卫生健康科技创新发展。</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10.贯彻落实国家中医药法律法规、规章政策，并根据省、市、县部署安排抓好组织实施；拟订中医药改革发展规划和目标，负责综合管理中医（含中西医结合、民族医，下同）医疗、教育、科研、</w:t>
      </w:r>
      <w:r w:rsidRPr="0069588A">
        <w:rPr>
          <w:rFonts w:ascii="仿宋_GB2312" w:eastAsia="仿宋_GB2312" w:hAnsi="Times New Roman" w:cs="Times New Roman" w:hint="eastAsia"/>
          <w:sz w:val="30"/>
          <w:szCs w:val="30"/>
        </w:rPr>
        <w:lastRenderedPageBreak/>
        <w:t>文化建设、对外交流合作工作；参与拟订中医药产业传承与发展政策，指导中医医疗综合改革。</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11.建立健全艾滋病防治工作机制，加强宣传教育，采取行为防控干预措施和关怀求助等措施，综合防治艾滋病。</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12.推进元江县健康产业的发展，统筹实施医养结合、医体融合等健康政策，打造健康生活目的地。</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13.负责重要会议与重大活动的医疗卫生保障工作。</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14.指导元江县计划生育协会的业务工作。</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15.完成县委、县政府交办的其他任务。</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（二）2023年度重点工作任务概述</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聚焦“三医联动”破题破局，县域医疗服务能力不断提升。成立医共体党委，实行党委书记、理事长分设，全面执行和落实公立医院党委领导下的院长负责制，圆满完成医共体理事会换届工作，制定《元江县全面深入推进紧密型县域医共体建设实施方案》。争取公立医院高质量发展示范项目资金8,150,000.00元，完成医共体“百日攻坚”绩效指标落实。建设县级医院特色专科7个，乡级特色科室33个（含8个中医馆），健康小屋76个，全面推进综合服务能力提升和信息化建设。全力推进县医院迁建和光明医院建设等项目工程进度。</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2.加强基本公卫服务，医防融合与公共卫生工作成效显著。实施“乙类乙管”各项措施，开展新冠重点场所重点人群监测，处置学校新冠病毒感染聚集疫情3起。收报突发公共卫生事件信息65起，</w:t>
      </w:r>
      <w:r w:rsidRPr="0069588A">
        <w:rPr>
          <w:rFonts w:ascii="仿宋_GB2312" w:eastAsia="仿宋_GB2312" w:hAnsi="Times New Roman" w:cs="Times New Roman" w:hint="eastAsia"/>
          <w:sz w:val="30"/>
          <w:szCs w:val="30"/>
        </w:rPr>
        <w:lastRenderedPageBreak/>
        <w:t>经核实达IV级突发公共卫生事件2起，为手足口病、水痘暴发疫情各1起，未分级事件6起，均为流感暴发疫情，及时处置登革热输入疫情15起，未发生二代病例及疫情扩散。完成家庭医生签约101087人，全人群签约率51.68%，全人群履约率100.00%。特殊人群规范管理率均超过95.00%。完成老年人意外伤害保险款830,800.00元，参保人数16616人，参保率79.12%。</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3.持续推进爱国卫生“7个专项行动”及健康县城建设。年内制定印发《元江县推进健康县城建设三年行动方案（2022-2024年）》。顺利通过国家卫生县城省级暗访，病媒生物防制先进城区已通过省级验收评估，洼垤乡创建国家卫生乡镇工作有序推进，已接受市级评估。倡导健康融入万策，年内组织开展健康元江勤锻炼系列活动，主办全国第八届万步有约健走激励大赛暨元江县首届健走激励拓展赛。</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4.巩固提升健康扶贫成果，促进乡村振兴健康发展。全县20346人脱困人口实现县域内“先诊疗，后付费”和“一站式”结算。完成36种大病救治696人，救治率为100.00%。</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5.完成工资总额现价增速经济指标。根据元江县GDP增长调度中心关于卫生和社会工资总额增速不低于5.00%的要求，2023年1至9月元江县人民医院和澧江卫生院两家样本单位增速实现5.23%，完成了工资现价增速任务，其中：县人民医院工资总额现价增速实现5.21%，澧江卫生院工资总额现价增速实现5.44%。</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二、部门基本情况</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lastRenderedPageBreak/>
        <w:t>（一）机构设置情况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我部门共设置6个内设机构，包括：党政办公室、规划财务和信息产业股（元江县爱国卫生运动委员会办公室）、执法审批改革与职业健康监督股、基层卫生与疾控防艾股（卫生应急办公室）、医政医管中医和科教宣传股、妇幼老龄人口家庭股。所属单位15个，分别是：1.元江县卫生健康局；2.元江县卫生健康局卫生监督局；3.元江县妇幼保健院；4.元江县疾病预防控制中心；5.元江县人民医院；6.元江县中医医院；7.澧江卫生院；8.甘庄中心卫生院；9.因远镇中心卫生院；10.曼来镇中心卫生院；11.羊街乡卫生院；12.那诺乡卫生院；13.龙潭乡卫生院；14.洼垤乡卫生院；15.咪哩乡卫生院。</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（二）决算单位构成</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纳入元江哈尼族彝族傣族自治县卫生健康局2023年度部门决算编报的单位共15个。其中：行政单位1个，参照公务员法管理的事业单位1个，其他事业单位13个。分别是：</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1.元江县卫生健康局（行政单位）；</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2.元江县卫生健康局卫生监督局（参公公益一类）；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3.元江县妇幼保健院（公益一类）；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4.元江县疾病预防控制中心（公益一类）；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5.元江县人民医院（公益二类）；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6.元江县中医医院（公益二类）；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7.澧江卫生院（公益一类）；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lastRenderedPageBreak/>
        <w:t>8.甘庄中心卫生院（公益一类）；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9.因远镇中心卫生院（公益一类）；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10.曼来镇中心卫生院（公益一类）；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 </w:t>
      </w:r>
      <w:r w:rsidRPr="0069588A">
        <w:rPr>
          <w:rFonts w:ascii="仿宋_GB2312" w:eastAsia="仿宋_GB2312" w:hAnsi="Times New Roman" w:cs="Times New Roman" w:hint="eastAsia"/>
          <w:sz w:val="30"/>
          <w:szCs w:val="30"/>
        </w:rPr>
        <w:t>11.羊街乡卫生院（公益一类）；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12.那诺乡卫生院（公益一类）；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13.龙潭乡卫生院（公益一类）；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14.洼垤乡卫生院（公益一类）；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15.咪哩乡卫生院（公益一类）。</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纳入元江哈尼族彝族傣族自治县卫生健康局2023年度部门决算编报的单位与本部门所属单位范围保持一致。</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（三）部门人员和车辆的编制及实有情况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元江哈尼族彝族傣族自治县卫生健康局2023年末实有人员编制768人，其中：行政编制19人（含行政工勤编制3人），事业编制749人（含参公管理事业编制18人）。在职在编实有行政人员18人（含行政工勤人员3人），参照公务员法管理事业人员10人，非参公管理事业人员659人。</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年末尚未移交养老保险基金发放养老金的离退休人员共计0人（离休0人，退休0人）。年末由养老保险基金发放养老金的离退休人员361人（离休2人，退休359人）。</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年末其他人员516人。其中：一般公共预算财政拨款开支人员20人，政府性基金预算财政拨款开支人员0人。年末学生0人。年末遗属8人。</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lastRenderedPageBreak/>
        <w:t>车辆编制41辆，在编实有车辆41辆。</w:t>
      </w:r>
    </w:p>
    <w:p w:rsidR="007A43D3" w:rsidRPr="0069588A" w:rsidRDefault="00E473C1">
      <w:pPr>
        <w:spacing w:line="590" w:lineRule="exact"/>
        <w:jc w:val="center"/>
        <w:rPr>
          <w:rFonts w:ascii="黑体" w:eastAsia="黑体" w:hAnsi="黑体" w:cs="Times New Roman"/>
          <w:sz w:val="32"/>
          <w:szCs w:val="32"/>
        </w:rPr>
      </w:pPr>
      <w:r w:rsidRPr="0069588A">
        <w:rPr>
          <w:rFonts w:ascii="黑体" w:eastAsia="黑体" w:hAnsi="黑体" w:cs="方正黑体_GBK" w:hint="eastAsia"/>
          <w:sz w:val="32"/>
          <w:szCs w:val="32"/>
        </w:rPr>
        <w:t>第二部分  2023年度部门决算表</w:t>
      </w:r>
    </w:p>
    <w:p w:rsidR="007A43D3" w:rsidRPr="0069588A" w:rsidRDefault="00E473C1">
      <w:pPr>
        <w:spacing w:line="590" w:lineRule="exact"/>
        <w:jc w:val="center"/>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（详见附表1-11）</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元江哈尼族彝族傣族自治县卫生健康局2023年无政府性基金收入支出及国有资本经营收入支出情况，因此，2023年度部门决算公开表附表8《政府性基金预算财政拨款收入支出决算表》和附表9《国有资本经营预算财政拨款收入支出决算表》为空表。</w:t>
      </w:r>
    </w:p>
    <w:p w:rsidR="007A43D3" w:rsidRPr="0069588A" w:rsidRDefault="00E473C1">
      <w:pPr>
        <w:spacing w:line="590" w:lineRule="exact"/>
        <w:jc w:val="center"/>
        <w:rPr>
          <w:rFonts w:ascii="黑体" w:eastAsia="黑体" w:hAnsi="黑体" w:cs="Times New Roman"/>
          <w:sz w:val="32"/>
          <w:szCs w:val="32"/>
        </w:rPr>
      </w:pPr>
      <w:r w:rsidRPr="0069588A">
        <w:rPr>
          <w:rFonts w:ascii="黑体" w:eastAsia="黑体" w:hAnsi="黑体" w:cs="方正黑体_GBK" w:hint="eastAsia"/>
          <w:sz w:val="32"/>
          <w:szCs w:val="32"/>
        </w:rPr>
        <w:t>第三部分  2023年度部门决算情况说明</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一、收入决算情况说明</w:t>
      </w:r>
    </w:p>
    <w:p w:rsidR="007A43D3"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元江哈尼族彝族傣族自治县卫生健康局2023年度收入合计376,958,434.05元。其中：财政拨款收入103,630,192.98元，占总收入的27.49%；上级补助收入0.00元，占总收入的0.00%；事业收入248,312,294.91元（含教育收费0.00元），占总收入的65.87%；经营收入0.00元，占总收入的0.00%；附属单位上缴收入0.00元，占总收入的0.00%；其他收入25,015,946.16元，占总收入的6.64%。与上年相比，收入合计增加41,532,500.50元，增长12.38%。其中：财政拨款收入增加16,506,331.04元，增长18.95%；</w:t>
      </w:r>
      <w:r w:rsidR="00521BF6" w:rsidRPr="00830AE1">
        <w:rPr>
          <w:rFonts w:ascii="仿宋_GB2312" w:eastAsia="仿宋_GB2312" w:hAnsi="Times New Roman" w:cs="Times New Roman" w:hint="eastAsia"/>
          <w:sz w:val="30"/>
          <w:szCs w:val="30"/>
        </w:rPr>
        <w:t>上级补助收入增加0.00元，增长0.00%；</w:t>
      </w:r>
      <w:r w:rsidRPr="00830AE1">
        <w:rPr>
          <w:rFonts w:ascii="仿宋_GB2312" w:eastAsia="仿宋_GB2312" w:hAnsi="Times New Roman" w:cs="Times New Roman" w:hint="eastAsia"/>
          <w:sz w:val="30"/>
          <w:szCs w:val="30"/>
        </w:rPr>
        <w:t>事业收入增加27,697,053.04元，增长12.55%；</w:t>
      </w:r>
      <w:r w:rsidR="002F40DC" w:rsidRPr="00830AE1">
        <w:rPr>
          <w:rFonts w:ascii="仿宋_GB2312" w:eastAsia="仿宋_GB2312" w:hAnsi="Times New Roman" w:cs="Times New Roman" w:hint="eastAsia"/>
          <w:sz w:val="30"/>
          <w:szCs w:val="30"/>
        </w:rPr>
        <w:t>经营收入增加0.00元，增长0.00%；附属单位上缴收入增加0.00元，增长0.00%；</w:t>
      </w:r>
      <w:r w:rsidRPr="00830AE1">
        <w:rPr>
          <w:rFonts w:ascii="仿宋_GB2312" w:eastAsia="仿宋_GB2312" w:hAnsi="Times New Roman" w:cs="Times New Roman" w:hint="eastAsia"/>
          <w:sz w:val="30"/>
          <w:szCs w:val="30"/>
        </w:rPr>
        <w:t>其他收入减少2,670,883.58元，下降9.65%。</w:t>
      </w:r>
      <w:r w:rsidRPr="0069588A">
        <w:rPr>
          <w:rFonts w:ascii="仿宋_GB2312" w:eastAsia="仿宋_GB2312" w:hAnsi="Times New Roman" w:cs="Times New Roman" w:hint="eastAsia"/>
          <w:sz w:val="30"/>
          <w:szCs w:val="30"/>
        </w:rPr>
        <w:t>分析财政拨款收入增加原因主要是公立医院改革与高质量发展项目资金以及重大公共卫生能力双提升项目资金的增加；分析事业收入</w:t>
      </w:r>
      <w:r w:rsidRPr="0069588A">
        <w:rPr>
          <w:rFonts w:ascii="仿宋_GB2312" w:eastAsia="仿宋_GB2312" w:hAnsi="Times New Roman" w:cs="Times New Roman" w:hint="eastAsia"/>
          <w:sz w:val="30"/>
          <w:szCs w:val="30"/>
        </w:rPr>
        <w:lastRenderedPageBreak/>
        <w:t>增加原因主要是两家公立医院的医疗服务收入增加；分析其他收入减少的原因主要是主管部门转拨上级补助资金减少。</w:t>
      </w:r>
    </w:p>
    <w:p w:rsidR="007A43D3" w:rsidRPr="002F40DC" w:rsidRDefault="00E473C1" w:rsidP="0069588A">
      <w:pPr>
        <w:spacing w:line="590" w:lineRule="exact"/>
        <w:ind w:firstLineChars="200" w:firstLine="600"/>
        <w:rPr>
          <w:rFonts w:ascii="黑体" w:eastAsia="黑体" w:hAnsi="黑体" w:cs="Times New Roman"/>
          <w:sz w:val="30"/>
          <w:szCs w:val="30"/>
        </w:rPr>
      </w:pPr>
      <w:r w:rsidRPr="002F40DC">
        <w:rPr>
          <w:rFonts w:ascii="黑体" w:eastAsia="黑体" w:hAnsi="黑体" w:cs="方正黑体_GBK" w:hint="eastAsia"/>
          <w:sz w:val="30"/>
          <w:szCs w:val="30"/>
        </w:rPr>
        <w:t>二、支出决算情况说明</w:t>
      </w:r>
    </w:p>
    <w:p w:rsidR="007A43D3"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元江哈尼族彝族傣族自治县卫生健康局2023年度支出合计355,283,629.47元。其中：基本支出311,839,828.25元，占总支出的87.77%；项目支出43,443,801.22元，占总支出的12.23%；上缴上级支出0.00元，占总支出的0.00％；经营支出0.00元，占总支出的0.00％；对附属单位补助支出0.00元，占总支出的0.00％。与上年相比，支出合计增加2,0449,519.77元，增长6.11%。其中：基本支出增加22,795,441.65元，增长7.89%；项目支出减少2,345,921.88元，下降5.12%</w:t>
      </w:r>
      <w:r w:rsidR="002F40DC" w:rsidRPr="00830AE1">
        <w:rPr>
          <w:rFonts w:ascii="仿宋_GB2312" w:eastAsia="仿宋_GB2312" w:hAnsi="Times New Roman" w:cs="Times New Roman" w:hint="eastAsia"/>
          <w:sz w:val="30"/>
          <w:szCs w:val="30"/>
        </w:rPr>
        <w:t>；上缴上级支出增加0.00元，增长0.00%；经营支出增加0.00元，增长0.00%；对附属单位补助支出增加0.00元，增长0.00%。</w:t>
      </w:r>
      <w:r w:rsidRPr="00830AE1">
        <w:rPr>
          <w:rFonts w:ascii="仿宋_GB2312" w:eastAsia="仿宋_GB2312" w:hAnsi="Times New Roman" w:cs="Times New Roman" w:hint="eastAsia"/>
          <w:sz w:val="30"/>
          <w:szCs w:val="30"/>
        </w:rPr>
        <w:t>分析基本支出增加原因主要是人员工资类及保险类</w:t>
      </w:r>
      <w:r w:rsidRPr="0069588A">
        <w:rPr>
          <w:rFonts w:ascii="仿宋_GB2312" w:eastAsia="仿宋_GB2312" w:hAnsi="Times New Roman" w:cs="Times New Roman" w:hint="eastAsia"/>
          <w:sz w:val="30"/>
          <w:szCs w:val="30"/>
        </w:rPr>
        <w:t>收入增加；分析项目支出减少原因主要是部分公立医院改革与高质量发展补助资金未能在当年发生实际支出。</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（一）基本支出情况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2023年度用于保障元江哈尼族彝族傣族自治县卫生健康局机关、下属事业单位等机构正常运转的日常支出311,839,828.25元。其中：基本工资、津贴补贴等人员经费支出173,387,952.85元，占基本支出的55.60％；办公费、印刷费、水电费、办公设备购置等公用经费138,451,875.40元，占基本支出的44.40％。</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（二）项目支出情况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lastRenderedPageBreak/>
        <w:t>2023年度用于保障元江哈尼族彝族傣族自治县卫生健康局机构、下属事业单位等机构为完成特定的行政工作任务或事业发展目标，用于专项业务工作的经费支出43,443,801.22元。其中：基本建设类项目支出1,244,054.07元。具体项目开支及开展工作情况：行政运行支出16,879.03元，主要用于办公场所维修（护）费的支出；综合医院支出1,244,054.07元，主要用于公立医院改革与高质量发展相关支出；其他公立医院支出8,266,431.75元，主要用于开展重大公共卫生双提升以及公立医院改革相关支出；乡镇卫生院支出2,277,351.39元，主要用于卫生院相关项目支出；其他基层医疗卫生机构支出2,592,304.33元，主要用于乡村医生生活补助、实施基本药物制度补助、脱贫人口重点人群和农村低收入人群家庭医生签约服务等经费的发放与拨付；疾病预防控制机构支出441,862.87元，主要用于疾病预防项目资金支出；妇幼保健机构支出78,685.66元，主要用于妇幼健康项目支出；基本公共卫生服务支出13,413,432.44元，主要用于转拨各医疗卫生单位开展基本公共卫生服务项目相关工作；重大公共卫生服务支出8,060,323.08元，主要用于转拨各乡镇（街道）严重精神障碍患者监护人以奖代补经费，转拨各医疗卫生单位开展艾滋病防治相关工作；突发公共卫生事件应急处理支出2,020,321.40元，主要用于拨付新冠病毒感染过渡期医务人员临时性工作补助以及重点人群核酸检测经费；其他公共卫生支出37,100.20元，主要用于爱国卫生“七个专项行动”相关支出；计划生育服务支出690,025.00元，主要用于兑付计生奖优免补资金以及</w:t>
      </w:r>
      <w:r w:rsidRPr="0069588A">
        <w:rPr>
          <w:rFonts w:ascii="仿宋_GB2312" w:eastAsia="仿宋_GB2312" w:hAnsi="Times New Roman" w:cs="Times New Roman" w:hint="eastAsia"/>
          <w:sz w:val="30"/>
          <w:szCs w:val="30"/>
        </w:rPr>
        <w:lastRenderedPageBreak/>
        <w:t>计生协管员生活补助；其他计划生育事务支出3,917,940.00元，主要用于补兑2022-2023年计划生育奖优免补资金以及2023年生育支持项目补助资金；其他医疗救助支出184,000.00元，主要用于拨付建档立卡贫困人口家庭医生签约服务补助资金；老龄卫生健康事务支出180,990.00元，主要用于开展春节、敬老节老年人慰问活动；其他卫生健康支出22,100.00元，主要用于拨付妇幼健康计划项目市级补助经费。</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三、一般公共预算财政拨款支出决算情况说明</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（一）一般公共预算财政拨款支出决算总体情况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元江哈尼族彝族傣族自治县卫生健康局2023年度一般公共预算财政拨款支出103,941,101.96元,占本年支出合计的29.26%。与上年相比增加17,577,086.88元，增长20.35%,分析原因主要是人员类工资、保险以及公立医院改革与高质量发展、重大公共卫生双提升项目支出增加。</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（二）一般公共预算财政拨款支出决算具体情况</w:t>
      </w:r>
    </w:p>
    <w:p w:rsidR="001E0BAC" w:rsidRPr="00830AE1" w:rsidRDefault="00593205"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w:t>
      </w:r>
      <w:r w:rsidR="001E0BAC" w:rsidRPr="00830AE1">
        <w:rPr>
          <w:rFonts w:ascii="仿宋_GB2312" w:eastAsia="仿宋_GB2312" w:hAnsi="Times New Roman" w:cs="Times New Roman" w:hint="eastAsia"/>
          <w:sz w:val="30"/>
          <w:szCs w:val="30"/>
        </w:rPr>
        <w:t>一般公共服务（类）支出0.00元，占一般公共预算财政拨款总支出的0.00%。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2.外交（类）支出0.00元，占一般公共预算财政拨款总支出的0.00%。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3.国防（类）支出0.00元，占一般公共预算财政拨款总支出的0.00%。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4.公共安全（类）支出0.00元，占一般公共预算财政拨款总支</w:t>
      </w:r>
      <w:r w:rsidRPr="00830AE1">
        <w:rPr>
          <w:rFonts w:ascii="仿宋_GB2312" w:eastAsia="仿宋_GB2312" w:hAnsi="Times New Roman" w:cs="Times New Roman" w:hint="eastAsia"/>
          <w:sz w:val="30"/>
          <w:szCs w:val="30"/>
        </w:rPr>
        <w:lastRenderedPageBreak/>
        <w:t>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5.教育（类）支出0.00元，占一般公共预算财政拨款总支出的0.00%。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6.科学技术（类）支出0.00元，占一般公共预算财政拨款总支出的0.00%。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7.文化旅游体育与传媒（类）支出0.00元，占一般公共预算财政拨款总支出的0.00%。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8</w:t>
      </w:r>
      <w:r w:rsidR="00593205" w:rsidRPr="00830AE1">
        <w:rPr>
          <w:rFonts w:ascii="仿宋_GB2312" w:eastAsia="仿宋_GB2312" w:hAnsi="Times New Roman" w:cs="Times New Roman" w:hint="eastAsia"/>
          <w:sz w:val="30"/>
          <w:szCs w:val="30"/>
        </w:rPr>
        <w:t>.</w:t>
      </w:r>
      <w:r w:rsidRPr="00830AE1">
        <w:rPr>
          <w:rFonts w:ascii="仿宋_GB2312" w:eastAsia="仿宋_GB2312" w:hAnsi="Times New Roman" w:cs="Times New Roman" w:hint="eastAsia"/>
          <w:sz w:val="30"/>
          <w:szCs w:val="30"/>
        </w:rPr>
        <w:t>社会保障和就业（类）支出14,004,330.26元，占一般公共预算财政拨款总支出的13.47%。主要用于卫生健康各单位退休人员生活补助支出200,000.00元；基本养老保险缴费13,737,880.26元；死亡抚恤支出66,450.00元。</w:t>
      </w:r>
    </w:p>
    <w:p w:rsidR="001E0BAC" w:rsidRPr="00830AE1" w:rsidRDefault="00593205"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9.卫生健康（类）支出89,492,326.70元，占一般公共预算财政拨款总支出的86.10%。主要用于行政事业单位医疗支出6,139,741.30元；行政运行支出4,433,765.34元；综合医院支出9,966,593.50元；中医（民族）医院支出1,254,305.09元；其他公立医院支出8,266,431.75元；乡镇卫生院支出25,117,378.06元；其他基层医疗卫生机构支出2,264,120.00元；疾病预防控制机构支出5,725,586.34元；卫生监督机构支出1,286,675.96元；妇幼保健机构支出5,353,649.74元；基本公共卫生服务支出5,501,309.92元；重大公共卫生服务支出7,971,586.50元；突发公共卫生事件应急处理支出1,201,128.00元；其他公共卫生支出37,100.20元；计划生育服务支出690,025.00元；其他计划生育事务支出</w:t>
      </w:r>
      <w:r w:rsidRPr="00830AE1">
        <w:rPr>
          <w:rFonts w:ascii="仿宋_GB2312" w:eastAsia="仿宋_GB2312" w:hAnsi="Times New Roman" w:cs="Times New Roman" w:hint="eastAsia"/>
          <w:sz w:val="30"/>
          <w:szCs w:val="30"/>
        </w:rPr>
        <w:lastRenderedPageBreak/>
        <w:t>3,917,940.00元；其他医疗救助支出184,000.00元；老龄卫生健康事务支出180,990.00元。</w:t>
      </w:r>
      <w:r w:rsidRPr="00830AE1">
        <w:rPr>
          <w:rFonts w:ascii="仿宋_GB2312" w:eastAsia="仿宋_GB2312" w:hAnsi="Times New Roman" w:cs="Times New Roman"/>
          <w:sz w:val="30"/>
          <w:szCs w:val="30"/>
        </w:rPr>
        <w:t> </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10.节能环保（类）支出0.00元，占一般公共预算财政拨款总支出的0.00%。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11.城乡社区（类）支出0.00元，占一般公共预算财政拨款总支出的0.00%。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12.农林水（类）支出0.00元，占一般公共预算财政拨款总支出的0.00%。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13.交通运输（类）支出0.00元，占一般公共预算财政拨款总支出的0.00%。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14.资源勘探工业信息等（类）支出0.00元，占一般公共预算财政拨款总支出的0.00%。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15.商业服务业等（类）支出0.00元，占一般公共预算财政拨款总支出的0.00%。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16.金融（类）支出0.00元，占一般公共预算财政拨款总支出的0.00%。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17.援助其他地区（类）支出0.00元，占一般公共预算财政拨款总支出的0.00%。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18.自然资源海洋气象等（类）支出0.00元，占一般公共预算财政拨款总支出的0.00%。</w:t>
      </w:r>
    </w:p>
    <w:p w:rsidR="001E0BAC" w:rsidRPr="00830AE1" w:rsidRDefault="00593205"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19.住房保障（类）支出444,445.00元，占一般公共预算财政拨款总支出的0.43%。全部用于缴纳住房公积金。</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lastRenderedPageBreak/>
        <w:t>20.粮油物资储备（类）支出0.00元，占一般公共预算财政拨款总支出的0.00%。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21.国有资本经营预算（类）支出0.00元，占一般公共预算财政拨款总支出的0.00%。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22.灾害防治及应急管理（类）支出0.00元，占一般公共预算财政拨款总支出的0.00%。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23.其他（类）支出0.00元，占一般公共预算财政拨款总支出的0.00%。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24.债务还本（类）支出0.00元，占一般公共预算财政拨款总支出的0.00%。</w:t>
      </w:r>
    </w:p>
    <w:p w:rsidR="001E0BAC" w:rsidRPr="00830AE1" w:rsidRDefault="001E0BAC" w:rsidP="001E0BAC">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25.债务付息（类）支出0.00元，占一般公共预算财政拨款总支出的0.00%。</w:t>
      </w:r>
    </w:p>
    <w:p w:rsidR="001E0BAC" w:rsidRPr="001E0BAC" w:rsidRDefault="001E0BAC" w:rsidP="0069588A">
      <w:pPr>
        <w:spacing w:line="590" w:lineRule="exact"/>
        <w:ind w:firstLineChars="200" w:firstLine="600"/>
        <w:rPr>
          <w:rFonts w:ascii="仿宋_GB2312" w:eastAsia="仿宋_GB2312" w:hAnsi="Times New Roman" w:cs="Times New Roman"/>
          <w:sz w:val="30"/>
          <w:szCs w:val="30"/>
        </w:rPr>
      </w:pPr>
      <w:r w:rsidRPr="00830AE1">
        <w:rPr>
          <w:rFonts w:ascii="仿宋_GB2312" w:eastAsia="仿宋_GB2312" w:hAnsi="Times New Roman" w:cs="Times New Roman" w:hint="eastAsia"/>
          <w:sz w:val="30"/>
          <w:szCs w:val="30"/>
        </w:rPr>
        <w:t>26.抗疫特别国债安排（类）支出0.00元，占一般公共预算财政拨款总支出的0.00%。</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四、财政拨款“三公”经费支出决算情况说明</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2023年度财政拨款“三公”经费支出决算中，财政拨款“三公”经费支出年初预算为233,000.00元，决算为45,467.08元，完成年初预算的19.51%。其中：因公出国（境）费支出年初预算为0.00元，决算为0.00元，占财政拨款“三公”经费总支出决算的0.00%；公务用车购置费支出年初预算为0.00元，决算为0.00元，占财政拨款“三公”经费总支出决算的0.00%；公务用车运行维护费支出年初预算为145,000.00元，决算为32,901.08元，占财政拨款“三公”</w:t>
      </w:r>
      <w:r w:rsidRPr="0069588A">
        <w:rPr>
          <w:rFonts w:ascii="仿宋_GB2312" w:eastAsia="仿宋_GB2312" w:hAnsi="Times New Roman" w:cs="Times New Roman" w:hint="eastAsia"/>
          <w:sz w:val="30"/>
          <w:szCs w:val="30"/>
        </w:rPr>
        <w:lastRenderedPageBreak/>
        <w:t>经费总支出决算的72.36%，完成年初预算的22.69%；公务接待费支出年初预算为88,000.00元，决算为12,566.00元，占财政拨款“三公”经费总支出决算的27.64%，完成年初预算的14.28%，具体是国内接待费支出决算12,566.00元（其中：外事接待费支出决算0.00元），国（境）外接待费支出决算0.00元。其中：</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（一）一般公共预算财政拨款“三公”经费支出决算总体情况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元江哈尼族彝族傣族自治县卫生健康局2023年度一般公共预算财政拨款“三公”经费支出年初预算为233,000.00元，支出决算为45,467.08元，完成年初预算的19.51%。其中：因公出国（境）费支出年初预算为0.00元，决算为0.00元；公务用车购置费支出年初预算为0.00元，决算为0.00元；公务用车运行维护费支出年初预算为145,000.00元，决算为32,901.08元，完成年初预算的22.69%；公务接待费支出年初预算为88,000.00元，决算为12,566.00元，完成年初预算的14.28%。2023年度一般公共预算财政拨款“三公”经费支出决算数小于年初预算数的原因主要是由于县财政困难，公务接待费及公务用车运行维护费预算资金未能全部发生实际支出。</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2023年度一般公共预算财政拨款“三公”经费支出决算数比上年减少26,262.20元，下降36.61%。其中：因公出国（境）费支出决算数0.00元，与上年无增减变化；公务用车购置费支出决算数0.00元，与上年无增减变化；公务用车运行维护费支出决算增加27,974.80元，增长567.87%；公务接待费支出决算减少54,237.00元，下降81.19%。2023年度一般公共预算财政拨款“三公”经费支</w:t>
      </w:r>
      <w:r w:rsidRPr="0069588A">
        <w:rPr>
          <w:rFonts w:ascii="仿宋_GB2312" w:eastAsia="仿宋_GB2312" w:hAnsi="Times New Roman" w:cs="Times New Roman" w:hint="eastAsia"/>
          <w:sz w:val="30"/>
          <w:szCs w:val="30"/>
        </w:rPr>
        <w:lastRenderedPageBreak/>
        <w:t>出决算减少原因主要是县卫健局（本级）减少了新冠疫情防控工作相关公务接待费，且2023年爱卫相关公务接待费暂未在当年报销。</w:t>
      </w:r>
    </w:p>
    <w:p w:rsidR="007A43D3" w:rsidRPr="0069588A" w:rsidRDefault="00E473C1" w:rsidP="0069588A">
      <w:pPr>
        <w:spacing w:line="590" w:lineRule="exact"/>
        <w:ind w:firstLineChars="200" w:firstLine="600"/>
        <w:rPr>
          <w:rFonts w:ascii="楷体" w:eastAsia="楷体" w:hAnsi="楷体" w:cs="Times New Roman"/>
          <w:sz w:val="30"/>
          <w:szCs w:val="30"/>
        </w:rPr>
      </w:pPr>
      <w:r w:rsidRPr="0069588A">
        <w:rPr>
          <w:rFonts w:ascii="楷体" w:eastAsia="楷体" w:hAnsi="楷体" w:cs="方正楷体_GBK" w:hint="eastAsia"/>
          <w:sz w:val="30"/>
          <w:szCs w:val="30"/>
        </w:rPr>
        <w:t>（二）一般公共预算财政拨款“三公”经费支出实物量的具体情况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1.安排因公出国（境）团组0个，累计0人次。</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2.购置车辆0辆。开支一般公共预算财政拨款的公务用车保有量为5辆。主要用于卫生监督以及疾病预防控制相关工作所需车辆燃料费、维修费、过路过桥费、保险费等。</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3.安排国内公务接待20批次（其中：外事接待0批次），接待人次145人（其中：外事接待人次0人）。主要用于爱国卫生运动督导、检查、考核等相关工作发生的接待支出。安排国（境）外公务接待0批次，接待人次0人。</w:t>
      </w:r>
    </w:p>
    <w:p w:rsidR="007A43D3" w:rsidRPr="0069588A" w:rsidRDefault="00E473C1">
      <w:pPr>
        <w:spacing w:line="590" w:lineRule="exact"/>
        <w:jc w:val="center"/>
        <w:rPr>
          <w:rFonts w:ascii="黑体" w:eastAsia="黑体" w:hAnsi="黑体" w:cs="方正黑体_GBK"/>
          <w:sz w:val="32"/>
          <w:szCs w:val="32"/>
        </w:rPr>
      </w:pPr>
      <w:r w:rsidRPr="0069588A">
        <w:rPr>
          <w:rFonts w:ascii="黑体" w:eastAsia="黑体" w:hAnsi="黑体" w:cs="方正黑体_GBK" w:hint="eastAsia"/>
          <w:sz w:val="32"/>
          <w:szCs w:val="32"/>
        </w:rPr>
        <w:t>第四部分  其他重要事项及相关口径情况说明</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一、机关运行经费支出情况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元江哈尼族彝族傣族自治县卫生健康局2023年机关运行经费支出257,968.16元，比上年减少1,000,304.90元，下降79.50%，分析原因主要2022年县级配套计划生育协管员生活补助以及乡村医生生活补助记入商品和服务支出，而2023年记入人员经费，由此导致机关运行经费大幅减少。单位机关运行经费主要用于：邮电费15,000.00元；公务用车运行维护费4,068.16元；其他交通费用238,900.00元。</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二、国有资产占用情况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lastRenderedPageBreak/>
        <w:t>截至2023年末，元江哈尼族彝族傣族自治县卫生健康局资产总额373,888,085.79元，其中，流动资产180,725,191.51元，固定资产127,561,545.73元（净值），对外投资及有价证券0.00元，在建工程55,539,498.63元，无形资产3,707,488.02元（净值），其他资产6,354,361.90元（净值）（具体内容详见附表12）。与上年相比，本年资产总额增加21,226,968.22元，其中固定资产减少12,657,418.77元。处置房屋建筑物567.38平方米，账面原值115,674.99元；处置车辆0辆，账面原值0.00元；报废报损资产675项，账面原值10,348,459.00元，实现资产处置收入8,443.00元；出租房屋1,028.00平方米，账面原值774,351.69元，实现资产使用收入34,199.91元（税后出租收入）。</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（国有资产占有使用情况表详见附表12）</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三、政府采购支出情况</w:t>
      </w:r>
    </w:p>
    <w:p w:rsidR="007A43D3" w:rsidRPr="0069588A" w:rsidRDefault="00E473C1" w:rsidP="0069588A">
      <w:pPr>
        <w:spacing w:line="590" w:lineRule="exact"/>
        <w:ind w:firstLineChars="200" w:firstLine="600"/>
        <w:rPr>
          <w:rFonts w:ascii="仿宋_GB2312" w:eastAsia="仿宋_GB2312" w:hAnsi="Times New Roman" w:cs="Times New Roman"/>
          <w:sz w:val="30"/>
          <w:szCs w:val="30"/>
        </w:rPr>
      </w:pPr>
      <w:r w:rsidRPr="0069588A">
        <w:rPr>
          <w:rFonts w:ascii="仿宋_GB2312" w:eastAsia="仿宋_GB2312" w:hAnsi="Times New Roman" w:cs="Times New Roman" w:hint="eastAsia"/>
          <w:sz w:val="30"/>
          <w:szCs w:val="30"/>
        </w:rPr>
        <w:t>2023年度，单位政府采购支出总额15,331,299.68元，其中：政府采购货物支出12,316,862.27元；政府采购工程支出0.00元；政府采购服务支出3,014</w:t>
      </w:r>
      <w:bookmarkStart w:id="2" w:name="OLE_LINK37"/>
      <w:bookmarkStart w:id="3" w:name="OLE_LINK38"/>
      <w:r w:rsidRPr="0069588A">
        <w:rPr>
          <w:rFonts w:ascii="仿宋_GB2312" w:eastAsia="仿宋_GB2312" w:hAnsi="Times New Roman" w:cs="Times New Roman" w:hint="eastAsia"/>
          <w:sz w:val="30"/>
          <w:szCs w:val="30"/>
        </w:rPr>
        <w:t>,</w:t>
      </w:r>
      <w:bookmarkEnd w:id="2"/>
      <w:bookmarkEnd w:id="3"/>
      <w:r w:rsidRPr="0069588A">
        <w:rPr>
          <w:rFonts w:ascii="仿宋_GB2312" w:eastAsia="仿宋_GB2312" w:hAnsi="Times New Roman" w:cs="Times New Roman" w:hint="eastAsia"/>
          <w:sz w:val="30"/>
          <w:szCs w:val="30"/>
        </w:rPr>
        <w:t>437.41元。授予中小企业合同金额</w:t>
      </w:r>
      <w:r w:rsidRPr="00830AE1">
        <w:rPr>
          <w:rFonts w:ascii="仿宋_GB2312" w:eastAsia="仿宋_GB2312" w:hAnsi="Times New Roman" w:cs="Times New Roman" w:hint="eastAsia"/>
          <w:sz w:val="30"/>
          <w:szCs w:val="30"/>
        </w:rPr>
        <w:t>141</w:t>
      </w:r>
      <w:r w:rsidR="001E0BAC" w:rsidRPr="00830AE1">
        <w:rPr>
          <w:rFonts w:ascii="仿宋_GB2312" w:eastAsia="仿宋_GB2312" w:hAnsi="Times New Roman" w:cs="Times New Roman" w:hint="eastAsia"/>
          <w:sz w:val="30"/>
          <w:szCs w:val="30"/>
        </w:rPr>
        <w:t>,</w:t>
      </w:r>
      <w:r w:rsidRPr="00830AE1">
        <w:rPr>
          <w:rFonts w:ascii="仿宋_GB2312" w:eastAsia="仿宋_GB2312" w:hAnsi="Times New Roman" w:cs="Times New Roman" w:hint="eastAsia"/>
          <w:sz w:val="30"/>
          <w:szCs w:val="30"/>
        </w:rPr>
        <w:t>642.14</w:t>
      </w:r>
      <w:r w:rsidRPr="0069588A">
        <w:rPr>
          <w:rFonts w:ascii="仿宋_GB2312" w:eastAsia="仿宋_GB2312" w:hAnsi="Times New Roman" w:cs="Times New Roman" w:hint="eastAsia"/>
          <w:sz w:val="30"/>
          <w:szCs w:val="30"/>
        </w:rPr>
        <w:t>元，其中：授予小微企业合同金额0.00元。</w:t>
      </w:r>
    </w:p>
    <w:p w:rsidR="007A43D3" w:rsidRPr="0069588A" w:rsidRDefault="00E473C1" w:rsidP="0069588A">
      <w:pPr>
        <w:spacing w:line="590" w:lineRule="exact"/>
        <w:ind w:firstLineChars="200" w:firstLine="600"/>
        <w:rPr>
          <w:rFonts w:ascii="黑体" w:eastAsia="黑体" w:hAnsi="黑体" w:cs="Times New Roman"/>
          <w:sz w:val="30"/>
          <w:szCs w:val="30"/>
        </w:rPr>
      </w:pPr>
      <w:r w:rsidRPr="0069588A">
        <w:rPr>
          <w:rFonts w:ascii="黑体" w:eastAsia="黑体" w:hAnsi="黑体" w:cs="方正黑体_GBK" w:hint="eastAsia"/>
          <w:sz w:val="30"/>
          <w:szCs w:val="30"/>
        </w:rPr>
        <w:t>四、部门绩效自评情况</w:t>
      </w:r>
    </w:p>
    <w:p w:rsidR="007A43D3"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部门绩效自评情况详见附表（附表13－附表15）。</w:t>
      </w:r>
    </w:p>
    <w:p w:rsidR="007A43D3" w:rsidRPr="00F870DC" w:rsidRDefault="00E473C1" w:rsidP="0069588A">
      <w:pPr>
        <w:spacing w:line="590" w:lineRule="exact"/>
        <w:ind w:firstLineChars="200" w:firstLine="600"/>
        <w:rPr>
          <w:rFonts w:ascii="黑体" w:eastAsia="黑体" w:hAnsi="黑体" w:cs="Times New Roman"/>
          <w:sz w:val="30"/>
          <w:szCs w:val="30"/>
        </w:rPr>
      </w:pPr>
      <w:r w:rsidRPr="00F870DC">
        <w:rPr>
          <w:rFonts w:ascii="黑体" w:eastAsia="黑体" w:hAnsi="黑体" w:cs="方正黑体_GBK" w:hint="eastAsia"/>
          <w:sz w:val="30"/>
          <w:szCs w:val="30"/>
        </w:rPr>
        <w:t>五、其他重要事项情况说明</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无。</w:t>
      </w:r>
    </w:p>
    <w:p w:rsidR="007A43D3" w:rsidRPr="00F870DC" w:rsidRDefault="00E473C1" w:rsidP="0069588A">
      <w:pPr>
        <w:spacing w:line="590" w:lineRule="exact"/>
        <w:ind w:firstLineChars="200" w:firstLine="600"/>
        <w:rPr>
          <w:rFonts w:ascii="黑体" w:eastAsia="黑体" w:hAnsi="黑体" w:cs="Times New Roman"/>
          <w:sz w:val="30"/>
          <w:szCs w:val="30"/>
        </w:rPr>
      </w:pPr>
      <w:r w:rsidRPr="00F870DC">
        <w:rPr>
          <w:rFonts w:ascii="黑体" w:eastAsia="黑体" w:hAnsi="黑体" w:cs="方正黑体_GBK" w:hint="eastAsia"/>
          <w:sz w:val="30"/>
          <w:szCs w:val="30"/>
        </w:rPr>
        <w:t>六、相关口径说明</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lastRenderedPageBreak/>
        <w:t>（一）基本支出中人员经费包括工资福利支出和对个人和家庭的补助，公用经费包括商品和服务支出、资本性支出等人员经费以外的支出。</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（二）机关运行经费指行政单位和参照公务员法管理的事业单位使用一般公共预算财政拨款安排的基本支出中的公用经费支出。</w:t>
      </w:r>
    </w:p>
    <w:p w:rsidR="007A43D3" w:rsidRPr="00F870DC" w:rsidRDefault="00E473C1" w:rsidP="00830AE1">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rsidR="007A43D3" w:rsidRPr="00F870DC" w:rsidRDefault="00E473C1">
      <w:pPr>
        <w:spacing w:line="590" w:lineRule="exact"/>
        <w:jc w:val="center"/>
        <w:rPr>
          <w:rFonts w:ascii="黑体" w:eastAsia="黑体" w:hAnsi="黑体" w:cs="Times New Roman"/>
          <w:sz w:val="32"/>
          <w:szCs w:val="32"/>
        </w:rPr>
      </w:pPr>
      <w:r w:rsidRPr="00F870DC">
        <w:rPr>
          <w:rFonts w:ascii="黑体" w:eastAsia="黑体" w:hAnsi="黑体" w:cs="方正黑体_GBK" w:hint="eastAsia"/>
          <w:sz w:val="32"/>
          <w:szCs w:val="32"/>
        </w:rPr>
        <w:t>第五部分  名词解释</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lastRenderedPageBreak/>
        <w:t>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w:t>
      </w:r>
      <w:r w:rsidRPr="00F870DC">
        <w:rPr>
          <w:rFonts w:ascii="仿宋_GB2312" w:eastAsia="仿宋_GB2312" w:hAnsi="Times New Roman" w:cs="Times New Roman" w:hint="eastAsia"/>
          <w:sz w:val="30"/>
          <w:szCs w:val="30"/>
        </w:rPr>
        <w:lastRenderedPageBreak/>
        <w:t>按规定开支的各类公务接待支出。</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社会保障和就业支出（类）：是指用于社会保障和就业方面的支出，包括保障机构正常运转、完成日常和特定的工作任务或事业发展目标的支出。</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国有资产：是指机关企事业等组织机构中，其产权属于国家所有的各种资产。包括房屋、机器、设备等固定资产和处于生产经营过程中的现金、银行存款、存货、在产品等流动资产。</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卫生健康支出：反映政府卫生健康方面的支出。</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基本公共卫生服务项目：指政府针对城乡居民存在的主要健康问题，以儿童、孕产妇、老年人、慢性疾病患者为重点人群，面向全体居民免费提供的基本公共卫生服务。具体包含：实施建立居民健康档案、健康教育、预防接种、儿童健康管理、孕产妇健康管理、老年人健康管理、高血压和 П型糖尿病等慢性病患者健康管理、传染病和突发公共卫生事件报告和处理、卫生监督协管等12 类项目以及妇幼卫生、老年健康服务、医养结合、地方病防治、职业病防治、卫生应急、孕前检查、重大疾病及健康危害因素监测、卫生健康项目监督管理等19类项目。</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重大公共卫生项目：指与重大疾病、重大传染病预防控制等相关的项目，主要包含扩大国家免疫规划、艾滋病防治、结核病防治、血吸虫与包虫病防治、精神卫生与慢性非传染性疾病防治等。</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基本药物专项补助经费：指中央和省、市为支持基层医疗卫生机构实施基本药物制度、推进基层医疗卫生机构综合改革而设立的</w:t>
      </w:r>
      <w:r w:rsidRPr="00F870DC">
        <w:rPr>
          <w:rFonts w:ascii="仿宋_GB2312" w:eastAsia="仿宋_GB2312" w:hAnsi="Times New Roman" w:cs="Times New Roman" w:hint="eastAsia"/>
          <w:sz w:val="30"/>
          <w:szCs w:val="30"/>
        </w:rPr>
        <w:lastRenderedPageBreak/>
        <w:t>专项补助经费，包含对卫生院、村卫生室以及乡村医生的补助。</w:t>
      </w:r>
    </w:p>
    <w:p w:rsidR="007A43D3" w:rsidRPr="00F870DC" w:rsidRDefault="00E473C1" w:rsidP="0069588A">
      <w:pPr>
        <w:spacing w:line="590" w:lineRule="exact"/>
        <w:ind w:firstLineChars="200" w:firstLine="600"/>
        <w:rPr>
          <w:rFonts w:ascii="仿宋_GB2312" w:eastAsia="仿宋_GB2312" w:hAnsi="Times New Roman" w:cs="Times New Roman"/>
          <w:sz w:val="30"/>
          <w:szCs w:val="30"/>
        </w:rPr>
      </w:pPr>
      <w:r w:rsidRPr="00F870DC">
        <w:rPr>
          <w:rFonts w:ascii="仿宋_GB2312" w:eastAsia="仿宋_GB2312" w:hAnsi="Times New Roman" w:cs="Times New Roman" w:hint="eastAsia"/>
          <w:sz w:val="30"/>
          <w:szCs w:val="30"/>
        </w:rPr>
        <w:t>计划生育奖优免补项目：为计划生育惠民惠农补助项目，具体包括农村独生子女家庭奖励扶助资金、计划生育家庭特别扶助制度（计划生育手术并发症）资金、计划生育家庭特别扶助制度（独生子女伤残死亡家庭）资金、农村独生子女家庭一次性奖励金、农业人口独生子女“奖学金”、计划生育失独家庭一次性抚慰金、城镇居民未享受退休金独生子女父母养老扶助金、农村居民和城镇下岗城镇无业居民独生子女保健费、城乡居民基本医疗保险个人参保费。</w:t>
      </w:r>
    </w:p>
    <w:p w:rsidR="007A43D3" w:rsidRPr="00F870DC" w:rsidRDefault="007A43D3" w:rsidP="0069588A">
      <w:pPr>
        <w:spacing w:line="590" w:lineRule="exact"/>
        <w:ind w:firstLineChars="200" w:firstLine="600"/>
        <w:rPr>
          <w:rFonts w:ascii="仿宋_GB2312" w:eastAsia="仿宋_GB2312" w:hAnsi="Times New Roman" w:cs="Times New Roman"/>
          <w:sz w:val="30"/>
          <w:szCs w:val="30"/>
        </w:rPr>
      </w:pPr>
    </w:p>
    <w:p w:rsidR="007A43D3" w:rsidRPr="0069588A" w:rsidRDefault="00E473C1">
      <w:pPr>
        <w:spacing w:line="590" w:lineRule="exact"/>
        <w:rPr>
          <w:rFonts w:ascii="Times New Roman" w:eastAsia="方正仿宋_GBK" w:hAnsi="Times New Roman" w:cs="Times New Roman"/>
          <w:sz w:val="32"/>
          <w:szCs w:val="32"/>
        </w:rPr>
      </w:pPr>
      <w:r w:rsidRPr="0069588A">
        <w:rPr>
          <w:rFonts w:ascii="Arial" w:eastAsia="Arial" w:hAnsi="Arial" w:cs="Times New Roman"/>
          <w:b/>
          <w:bCs/>
          <w:sz w:val="32"/>
          <w:szCs w:val="32"/>
        </w:rPr>
        <w:t>监督索引号</w:t>
      </w:r>
      <w:bookmarkStart w:id="4" w:name="_GoBack"/>
      <w:bookmarkEnd w:id="4"/>
      <w:r w:rsidRPr="0069588A">
        <w:rPr>
          <w:rFonts w:ascii="Arial" w:eastAsia="Arial" w:hAnsi="Arial" w:cs="Times New Roman"/>
          <w:b/>
          <w:bCs/>
          <w:sz w:val="32"/>
          <w:szCs w:val="32"/>
        </w:rPr>
        <w:t>53042800236101111</w:t>
      </w:r>
    </w:p>
    <w:sectPr w:rsidR="007A43D3" w:rsidRPr="0069588A" w:rsidSect="007A43D3">
      <w:footerReference w:type="default" r:id="rId7"/>
      <w:pgSz w:w="11906" w:h="16838"/>
      <w:pgMar w:top="2041" w:right="1474" w:bottom="1304" w:left="1587" w:header="1361" w:footer="119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A5D" w:rsidRDefault="007A2A5D" w:rsidP="007A43D3">
      <w:r>
        <w:separator/>
      </w:r>
    </w:p>
  </w:endnote>
  <w:endnote w:type="continuationSeparator" w:id="1">
    <w:p w:rsidR="007A2A5D" w:rsidRDefault="007A2A5D" w:rsidP="007A4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3D3" w:rsidRDefault="00CF3F87">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7A43D3" w:rsidRDefault="00E473C1">
                <w:pPr>
                  <w:pStyle w:val="a3"/>
                  <w:rPr>
                    <w:rFonts w:ascii="Times New Roman" w:hAnsi="Times New Roman" w:cs="Times New Roman"/>
                    <w:sz w:val="28"/>
                    <w:szCs w:val="28"/>
                  </w:rPr>
                </w:pPr>
                <w:r>
                  <w:rPr>
                    <w:rFonts w:ascii="Times New Roman" w:hAnsi="Times New Roman" w:cs="Times New Roman"/>
                    <w:sz w:val="28"/>
                    <w:szCs w:val="28"/>
                  </w:rPr>
                  <w:t xml:space="preserve">— </w:t>
                </w:r>
                <w:r w:rsidR="00CF3F87">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CF3F87">
                  <w:rPr>
                    <w:rFonts w:ascii="Times New Roman" w:hAnsi="Times New Roman" w:cs="Times New Roman"/>
                    <w:sz w:val="28"/>
                    <w:szCs w:val="28"/>
                  </w:rPr>
                  <w:fldChar w:fldCharType="separate"/>
                </w:r>
                <w:r w:rsidR="00830AE1">
                  <w:rPr>
                    <w:rFonts w:ascii="Times New Roman" w:hAnsi="Times New Roman" w:cs="Times New Roman"/>
                    <w:noProof/>
                    <w:sz w:val="28"/>
                    <w:szCs w:val="28"/>
                  </w:rPr>
                  <w:t>1</w:t>
                </w:r>
                <w:r w:rsidR="00CF3F87">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A5D" w:rsidRDefault="007A2A5D" w:rsidP="007A43D3">
      <w:r>
        <w:separator/>
      </w:r>
    </w:p>
  </w:footnote>
  <w:footnote w:type="continuationSeparator" w:id="1">
    <w:p w:rsidR="007A2A5D" w:rsidRDefault="007A2A5D" w:rsidP="007A43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dkMDE3Nzg0MTE2MTM0MjcxMDQ4MzhmNWQwZWQxZTcifQ=="/>
  </w:docVars>
  <w:rsids>
    <w:rsidRoot w:val="0D5D4401"/>
    <w:rsid w:val="00040B4D"/>
    <w:rsid w:val="000E675D"/>
    <w:rsid w:val="000E6F8D"/>
    <w:rsid w:val="001E0BAC"/>
    <w:rsid w:val="002F40DC"/>
    <w:rsid w:val="003A054A"/>
    <w:rsid w:val="00521BF6"/>
    <w:rsid w:val="00593205"/>
    <w:rsid w:val="006114D0"/>
    <w:rsid w:val="0069588A"/>
    <w:rsid w:val="0071454F"/>
    <w:rsid w:val="007A2A5D"/>
    <w:rsid w:val="007A43D3"/>
    <w:rsid w:val="00830AE1"/>
    <w:rsid w:val="009A561A"/>
    <w:rsid w:val="00B11989"/>
    <w:rsid w:val="00C40E5E"/>
    <w:rsid w:val="00CF3F87"/>
    <w:rsid w:val="00E473C1"/>
    <w:rsid w:val="00E63B95"/>
    <w:rsid w:val="00F870DC"/>
    <w:rsid w:val="02223CAA"/>
    <w:rsid w:val="042244A4"/>
    <w:rsid w:val="0428779B"/>
    <w:rsid w:val="05624A09"/>
    <w:rsid w:val="076937C4"/>
    <w:rsid w:val="07F00883"/>
    <w:rsid w:val="0A4E6FE7"/>
    <w:rsid w:val="0C6E1A76"/>
    <w:rsid w:val="0D5D4401"/>
    <w:rsid w:val="0DB04EC0"/>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5067F27"/>
    <w:rsid w:val="250E03DF"/>
    <w:rsid w:val="283E199C"/>
    <w:rsid w:val="291E4D8F"/>
    <w:rsid w:val="29B17831"/>
    <w:rsid w:val="2A0F2379"/>
    <w:rsid w:val="2B0C7A63"/>
    <w:rsid w:val="2B2D3C62"/>
    <w:rsid w:val="312B573F"/>
    <w:rsid w:val="32B11960"/>
    <w:rsid w:val="330639BE"/>
    <w:rsid w:val="338E031C"/>
    <w:rsid w:val="34944608"/>
    <w:rsid w:val="36082ED5"/>
    <w:rsid w:val="3945219C"/>
    <w:rsid w:val="3A8B2D7E"/>
    <w:rsid w:val="3B2B6225"/>
    <w:rsid w:val="3CD52A8D"/>
    <w:rsid w:val="3E4B71D4"/>
    <w:rsid w:val="3E7771BE"/>
    <w:rsid w:val="403E6292"/>
    <w:rsid w:val="40A65CC2"/>
    <w:rsid w:val="415E0E5F"/>
    <w:rsid w:val="416B393A"/>
    <w:rsid w:val="41BE7D71"/>
    <w:rsid w:val="43583A40"/>
    <w:rsid w:val="45651480"/>
    <w:rsid w:val="46F50228"/>
    <w:rsid w:val="477326FD"/>
    <w:rsid w:val="4B2263BD"/>
    <w:rsid w:val="4D3E1AC0"/>
    <w:rsid w:val="4E763807"/>
    <w:rsid w:val="50390BC0"/>
    <w:rsid w:val="51F7604E"/>
    <w:rsid w:val="53D81609"/>
    <w:rsid w:val="597169F6"/>
    <w:rsid w:val="5C22088A"/>
    <w:rsid w:val="5F272C3A"/>
    <w:rsid w:val="61574B54"/>
    <w:rsid w:val="61EE6187"/>
    <w:rsid w:val="659A65E2"/>
    <w:rsid w:val="663F3F16"/>
    <w:rsid w:val="68CB60BF"/>
    <w:rsid w:val="6AB15FC7"/>
    <w:rsid w:val="6B0865EF"/>
    <w:rsid w:val="6E2D0F87"/>
    <w:rsid w:val="6F6029F1"/>
    <w:rsid w:val="73412B8C"/>
    <w:rsid w:val="74AB0875"/>
    <w:rsid w:val="755755C5"/>
    <w:rsid w:val="76E92D4D"/>
    <w:rsid w:val="77770BC4"/>
    <w:rsid w:val="7A0D5CB7"/>
    <w:rsid w:val="7A3A7174"/>
    <w:rsid w:val="7A8F3418"/>
    <w:rsid w:val="7BB235D1"/>
    <w:rsid w:val="7D924802"/>
    <w:rsid w:val="7FAA1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3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43D3"/>
    <w:pPr>
      <w:tabs>
        <w:tab w:val="center" w:pos="4153"/>
        <w:tab w:val="right" w:pos="8306"/>
      </w:tabs>
      <w:snapToGrid w:val="0"/>
      <w:jc w:val="left"/>
    </w:pPr>
    <w:rPr>
      <w:sz w:val="18"/>
    </w:rPr>
  </w:style>
  <w:style w:type="paragraph" w:styleId="a4">
    <w:name w:val="header"/>
    <w:basedOn w:val="a"/>
    <w:rsid w:val="007A43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divs>
    <w:div w:id="11105899">
      <w:bodyDiv w:val="1"/>
      <w:marLeft w:val="0"/>
      <w:marRight w:val="0"/>
      <w:marTop w:val="0"/>
      <w:marBottom w:val="0"/>
      <w:divBdr>
        <w:top w:val="none" w:sz="0" w:space="0" w:color="auto"/>
        <w:left w:val="none" w:sz="0" w:space="0" w:color="auto"/>
        <w:bottom w:val="none" w:sz="0" w:space="0" w:color="auto"/>
        <w:right w:val="none" w:sz="0" w:space="0" w:color="auto"/>
      </w:divBdr>
    </w:div>
    <w:div w:id="419569925">
      <w:bodyDiv w:val="1"/>
      <w:marLeft w:val="0"/>
      <w:marRight w:val="0"/>
      <w:marTop w:val="0"/>
      <w:marBottom w:val="0"/>
      <w:divBdr>
        <w:top w:val="none" w:sz="0" w:space="0" w:color="auto"/>
        <w:left w:val="none" w:sz="0" w:space="0" w:color="auto"/>
        <w:bottom w:val="none" w:sz="0" w:space="0" w:color="auto"/>
        <w:right w:val="none" w:sz="0" w:space="0" w:color="auto"/>
      </w:divBdr>
    </w:div>
    <w:div w:id="1185444248">
      <w:bodyDiv w:val="1"/>
      <w:marLeft w:val="0"/>
      <w:marRight w:val="0"/>
      <w:marTop w:val="0"/>
      <w:marBottom w:val="0"/>
      <w:divBdr>
        <w:top w:val="none" w:sz="0" w:space="0" w:color="auto"/>
        <w:left w:val="none" w:sz="0" w:space="0" w:color="auto"/>
        <w:bottom w:val="none" w:sz="0" w:space="0" w:color="auto"/>
        <w:right w:val="none" w:sz="0" w:space="0" w:color="auto"/>
      </w:divBdr>
    </w:div>
    <w:div w:id="1215048388">
      <w:bodyDiv w:val="1"/>
      <w:marLeft w:val="0"/>
      <w:marRight w:val="0"/>
      <w:marTop w:val="0"/>
      <w:marBottom w:val="0"/>
      <w:divBdr>
        <w:top w:val="none" w:sz="0" w:space="0" w:color="auto"/>
        <w:left w:val="none" w:sz="0" w:space="0" w:color="auto"/>
        <w:bottom w:val="none" w:sz="0" w:space="0" w:color="auto"/>
        <w:right w:val="none" w:sz="0" w:space="0" w:color="auto"/>
      </w:divBdr>
    </w:div>
    <w:div w:id="183364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22</Pages>
  <Words>1786</Words>
  <Characters>10185</Characters>
  <Application>Microsoft Office Word</Application>
  <DocSecurity>0</DocSecurity>
  <Lines>84</Lines>
  <Paragraphs>23</Paragraphs>
  <ScaleCrop>false</ScaleCrop>
  <Company>玉溪市元江县党政机关单位</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搭戏</dc:creator>
  <cp:lastModifiedBy>张法宝</cp:lastModifiedBy>
  <cp:revision>8</cp:revision>
  <dcterms:created xsi:type="dcterms:W3CDTF">2024-10-18T02:55:00Z</dcterms:created>
  <dcterms:modified xsi:type="dcterms:W3CDTF">2024-11-05T13:08:00Z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7FE30ADF7B2348C88A01C5D8922430C3_11</vt:lpwstr>
  </property>
</Properties>
</file>