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hint="eastAsia" w:ascii="Times New Roman" w:hAnsi="Times New Roman" w:eastAsia="方正黑体_GBK"/>
          <w:b/>
          <w:color w:val="000000" w:themeColor="text1"/>
          <w:sz w:val="36"/>
          <w14:textFill>
            <w14:solidFill>
              <w14:schemeClr w14:val="tx1"/>
            </w14:solidFill>
          </w14:textFill>
        </w:rPr>
        <w:t>监督索引号53042700247400000</w:t>
      </w:r>
    </w:p>
    <w:p>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新平彝族傣族自治县投资促进局2024年预算公开目录</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第一部分 新平彝族傣族自治县投资促进局2024年部门预算编制说明</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第二部分 新平彝族傣族自治县投资促进局2024年部门预算表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pPr>
        <w:autoSpaceDN w:val="0"/>
        <w:spacing w:line="560" w:lineRule="exact"/>
        <w:jc w:val="left"/>
        <w:rPr>
          <w:rFonts w:ascii="Times New Roman" w:hAnsi="Times New Roman" w:eastAsia="方正小标宋_GBK"/>
          <w:color w:val="000000" w:themeColor="text1"/>
          <w:sz w:val="44"/>
          <w14:textFill>
            <w14:solidFill>
              <w14:schemeClr w14:val="tx1"/>
            </w14:solidFill>
          </w14:textFill>
        </w:rPr>
      </w:pPr>
      <w:r>
        <w:rPr>
          <w:rFonts w:ascii="Times New Roman" w:hAnsi="Times New Roman" w:eastAsia="方正小标宋_GBK"/>
          <w:color w:val="000000" w:themeColor="text1"/>
          <w:sz w:val="44"/>
          <w14:textFill>
            <w14:solidFill>
              <w14:schemeClr w14:val="tx1"/>
            </w14:solidFill>
          </w14:textFill>
        </w:rPr>
        <w:br w:type="page"/>
      </w:r>
    </w:p>
    <w:p>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新平彝族傣族自治县投资促进局2024年部门预算编制说明</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一、基本职能及主要工作</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贯彻执行国家、省、市、县有关招商引资、经济合作的法律法规和方针政策，认真落实县委、县政府关于扩大开放、招商引资的决策部署；研究拟订或参与起草全县招商引资和投资促进的政策措施，并牵头组织实施；指导全县招商引资工作，围绕有关重点目标、重点产业、重大项目，研究制定全县招商引资中长期发展规划、年度工作计划和目标任务，细化责任分工并组织实施；</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负责牵头组织实施招商引资目标任务综合考核、评价和奖惩；负责征集、筛选和发布招商引资项目；负责建设和管理县重点招商引资项目信息库及招商网站、微信公众号等招商平台；</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负责编制招商引资及投资促进宣传资料，开展对外宣传工作；负责发布新平县投资促进政策及重要招商引资信息；为境内外客商提供咨询服务；负责策划、组织和承办县委、县政府决定开展的境内、境外重大招商引资活动；负责牵头组织参加国家和省级境内、境外各类招商引资推介活动；负责组织指导、统筹协调全县各乡镇（街道）、县直各部门开展招商引资活动；</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负责协调并参与重点客商、重大招商项目的考察、洽谈、签约等工作；协调督导各乡镇（街道）、县直有关部门开展重大招商引资项目的协调推进；统筹协调县级重大招商引资项目全程服务；</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协调落实投资优惠政策；协调处理国内投资企业投诉；联系异地商会，开展招商引资工作；</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承担新平县招商引资工作委员会办公室日常工作；完成县委、县政府交办的其他任务。</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我部门共设置4个内设机构，包括：局办公室、项目开发股、投资服务股、运行分析股。</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所属单位0个。</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（三）重点工作概述</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2024年计划引进市外国内产业资金53.00亿元，同比增长6.00%，其中省外国内产业资金53.00亿元，同比增长6.00%。</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深挖资源，强化包装。紧紧抓住县委、县政府重大决策部署，以及各乡镇（街道）、相关责任单位的重点工作，着眼新平经济社会发展现状和现实需求，找准自身发展定位，抢抓政策机遇，充分挖掘我县比较优势，进一步积极做好项目前期论证、开发储备工作，进一步筛选出要素保障全、市场前景好、产业优势突出、符合政策要求的项目进行深度开发包装，不断充实、提高招商引资储备项目质量。</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w:t>
      </w:r>
      <w:r>
        <w:rPr>
          <w:rFonts w:hint="eastAsia" w:ascii="Times New Roman" w:hAnsi="Times New Roman" w:eastAsia="方正仿宋_GBK"/>
          <w:color w:val="000000" w:themeColor="text1"/>
          <w:sz w:val="32"/>
          <w:lang w:val="en-US" w:eastAsia="zh-CN"/>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继续突出“一把手”招商。坚持招商引资一把手工程不动摇，统筹资源、提升能力，加大平台招商、产业招商、精准招商力度，提前做好项目规划，强化土地、人力资源等要素保障，真正做到高位推进、高频调度。发挥好招商工作委员会办公室职责，统筹协调好项目对接、洽谈，大力营造良好的投资环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w:t>
      </w:r>
      <w:r>
        <w:rPr>
          <w:rFonts w:hint="eastAsia" w:ascii="Times New Roman" w:hAnsi="Times New Roman" w:eastAsia="方正仿宋_GBK"/>
          <w:color w:val="000000" w:themeColor="text1"/>
          <w:sz w:val="32"/>
          <w:lang w:val="en-US" w:eastAsia="zh-CN"/>
          <w14:textFill>
            <w14:solidFill>
              <w14:schemeClr w14:val="tx1"/>
            </w14:solidFill>
          </w14:textFill>
        </w:rPr>
        <w:t>.</w:t>
      </w:r>
      <w:bookmarkStart w:id="0" w:name="_GoBack"/>
      <w:bookmarkEnd w:id="0"/>
      <w:r>
        <w:rPr>
          <w:rFonts w:hint="eastAsia" w:ascii="Times New Roman" w:hAnsi="Times New Roman" w:eastAsia="方正仿宋_GBK"/>
          <w:color w:val="000000" w:themeColor="text1"/>
          <w:sz w:val="32"/>
          <w14:textFill>
            <w14:solidFill>
              <w14:schemeClr w14:val="tx1"/>
            </w14:solidFill>
          </w14:textFill>
        </w:rPr>
        <w:t>突出重点，链式招商。一是加大斗戛轻工产业园招商力度，按照园区定位，积极招引光电子基础材料、元器件制造、生物资源加工等轻工产业制造项目。协调服务好已签约的云南天之翼纺织有限公司和云南伽能捷新能源科技有限公司，全力推动企业尽快投产。进一步加大与江西上饶广丰时代集团COB半导体及新能源充电桩项目对接力度，争取项目能够签约。二是积极融入“云南绿色钢城”项目建设，加大仙福装备制造产业园建设项目推介力度，服务对接好已签约的安阳神龙腾达新材科技有限公司，力争年产200.00万吨酸洗冷轧镀锌薄板项目尽早开工建设。加快与昆明耀林彩钢工贸有限公司及云南利源金属工贸有限公司的对接，力争钢管及钢制品生产项目尽早签约。三是努力打造白糯格片区生物资源加工集群，依托南恩公司作为云南省唯一两家具有浆纸一体生产资质企业之一的生产优势，着力推动南恩公司搬迁技改升级，大力引进纸制品精深加工和销售行业的“头部”企业。四是推动传统农业向现代农业破局发展，重点与江苏绿港、光筑农业、海佳胡姬港湾等企业寻求合作，加快实施戛洒东磨现代农业产业园、扬武赵米克蓝莓种植产业园等基地建设项目，提升农业基地设施化、数字化水平。以农产品智慧冷链物流园为平台，大力发展冷藏保鲜、分选包装及精深加工，提升农产品附加值。五是坚持以资源换项目，不断培育壮大文旅产业，积极与广东客天下集团等文旅行业龙头企业沟通对接，邀请参与新平文旅项目的开发。</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二、预算单位基本情况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编制2024年部门预算单位共1个。其中：财政全额供给单位1个、差额供给单位0个、定额补助单位0个、自收自支单位0个。财政全额供给单位中行政单位0个、参公单位1个、事业单位0个。截止2023年12月统计，部门基本情况如下：</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在职人员编制11人，其中：行政编制0人，工勤人员编制2人，事业编制9人。在职实有11人，其中：财政全额保障11人，财政差额补助0人，财政专户资金0人、单位资金保障0人。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离退休人员2人，其中：离休0人，退休2人。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车辆编制1辆，实有车辆1辆，超编0辆。</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三、预算单位收入情况</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（一）部门财务收入情况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务总收入251.42万元，其中：一般公共预算251.42万元，政府性基金0.00万元，国有资本经营收益0.00万元，财政专户管理资金收入0.00万元，事业收入0.00万元，事业单位经营收入0.00万元，上级补助收入0.00万元，附属单位上缴收入0.00万元，其他收入0.00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与上年对比减少18.68万元，下降6.92%，主要原因是人员减少。</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（二）财政拨款收入情况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2024年部门财政拨款收入251.42万元，其中：本年收入251.42万元，上年结转收入0.00万元。本年收入中，一般公共预算财政拨款251.42万元，政府性基金预算财政拨款0.00万元，国有资本经营收益财政拨款0.00万元。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与上年对比减少18.68万元，下降6.92%，主要原因分析人员减少。</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四、预算单位支出情况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预算总支出251.42万元。财政拨款安排支出251.42万元，其中：基本支出210.92万元，与上年对比减少26.88万元，下降11.30%，主要原因是人员减少；项目支出40.50万元，与上年对比增加8.20万元，增长25.39%，主要原因是招商引资项目预算增加。</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“2011301行政运行”科目，2024年预算安排144.71万元，主要用于行政运行支出；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“2011308招商引资”科目，2024年预算安排40.00万元，主要用于招商引资支出；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“2013699其他共产党事务”科目，2024年预算安排0.50万元，主要用于其他共产党事务支出；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“2080501行政单位离退休”科目，2024年预算安排2.94万元，主要用于行政单位离退休人员生活补助支出；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“2080505机关事业单位基本养老保险缴费”科目，2024年预算安排支出24.75万元，主要用于机关事业单位基本养老保险缴费支出；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“2101101行政单位医疗”科目，2024年预算安排10.04万元，主要用于行政单位医疗保险缴费支出；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“2101103公务员医疗补助”科目，2024年预算安排5.14万元，主要用于公务员医疗补助缴费支出；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“2101199其他行政事业单位医疗”科目，2024年预算安排0.44万元，主要用于其他行政事业单位大病补充保险缴费支出；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“2160201行政运行”科目，2024年预算安排6.12万元，主要用于编外人员工资支出；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“2210201住房公积金”科目，2024年预算安排16.78万元，主要用于住房公积金支出。</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五、对下专项转移支付情况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新平彝族傣族自治县投资促进局无对下专项转移支付事项。</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六、政府采购预算情况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1个，政府采购预算总额0.30万元，其中：政府采购货物预算0.30万元、政府采购服务预算0.00万元、政府采购工程预算0.00万元。</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新平彝族傣族自治县投资促进局2024年一般公共预算财政拨款“三公”经费预算合计24.50万元，较上年增加12.30万元，增长100.82%，具体变动情况如下：</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（一）因公出国（境）费</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新平彝族傣族自治县投资促进局2024年因公出国（境）费预算为0.00万元，较上年增加0.00万元，增长0.00%，共计安排因公出国（境）团组0个，因公出国（境）0人次。</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（二）公务接待费</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新平彝族傣族自治县投资促进局2024年公务接待费预算为21.60万元，较上年增加12.30万元，增长132.26%，国内公务接待批次为276次，共计接待2,512人次。</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增加的原因主要是招商引资外出考察增加。</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（三）公务用车购置及运行维护费</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投资促进局2024年公务用车购置及运行维护费为2.90万元，较上年增加0.00万元，增长0.00%。其中：公务用车购置费0.00万元，较上年增加0.00万元，增长0.00%；公务用车运行维护费2.90万元，较上年增加0.00万元，增长0.00%。共计购置公务用车0辆，年末公务用车保有量为1辆。</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外出考察招商引资活动及日常工作补助经费40.00万元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绩效目标：根据2024年外出考察招商引资活动及日常工作开展的需要，项目预算总支出为40.00万元，其中：</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召开招商引资工作会议。每季度召集全县21个招商引资责任单位分管领导和业务人员召开一次招商引资工作会议，全年共召开4次，每次参会人员60人左右，人均会议费100.00元，每次会议费0.60万元，全年共计2.40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2.每年其他办公经费0.80万元.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3.招商引资公务接待费。全年接待投资商79批次，约2,000人次，接待费人均按80.00元计算，全年需支出21.10万元。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4.差旅费。全年外出招商活动不少于15次，其中县级主要领导带队8次，需支出出差人员住宿费、途中伙食补助费、交通费，合计15.70万元。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新平县投资促进局党建工作经费0.50万元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根据上级党组织工作安排及本单位年度工作计划，在“七一”建党节来临之际，切实体现党组织对党员的关怀与帮助，经支委会研究决定对本单位困难党员及结对共建单位老厂黑查莫村、太平社区部分困难党员进行慰问：</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1.开展支部活动及党建业务。每年七一建党节开展慰问活动，每次慰问10名困难党员，人均慰问金300.00元，合计3,000.00元。</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2.征订党报党刊。每年需征订党报党刊等学习材料12种以上，需征订费2,000.00元以上。</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坚持读原著、学原文、悟原理，在学懂、弄通、做实上下功夫，筑牢同以习近平同志为核心的党中央保持高度一致的思想根基，思想上绝对信赖、政治上坚决拥护、组织上自觉服从、感情上深刻认同、行动上坚定紧跟，始终在思想上政治上行动上与中央和省、市、县委保持高度一致。</w:t>
      </w:r>
    </w:p>
    <w:p>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九、其他公开信息</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（一）专业名词解释</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（二）机关运行经费安排变化情况及原因说明</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投资促进局2024年机关运行经费安排24.88万元，主要包括：办公费3.50万元、印刷费0.00万元、邮电费0.00万元、电费0.00万元、差旅费0.50万元、公务接待费0.50万元、劳务费6.12万元、工会经费1.60万元、福利费1.00万元、公务用车运行维护费2.90万元、其他交通费用8.76万元。与上年对比减少3.55万元，下降12.49%，主要原因是人员减少2人，相关经费也相应减少。</w:t>
      </w:r>
    </w:p>
    <w:p>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（三）国有资产占有使用情况</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截至2023年12月31日，新平彝族傣族自治县投资促进局资产总额10.98万元，其中，流动资产1.97万元，固定资产9.01万元，对外投资及有价证券0.00万元，在建工程0.00万元，无形资产0.00万元，其他资产0.00万元。与上年相比，本年资产总额减少5.09万元，其中固定资产增加0.00万元。处置房屋建筑物0.00平方米，账面原值0.00万元；处置车辆0辆，账面原值0.00万元；报废报损资产0项，账面原值0.00万元，实现资产处置收入0.00万元；资产使用收入0.00万元，其中出租资产0.00平方米，资产出租收入0.00万元。鉴于截至2023年12月31日的国有资产占有使用精准数据，需在完成2023年决算编制后才能汇总，此处公开为2023年12月资产月报数。</w:t>
      </w:r>
    </w:p>
    <w:p>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hint="eastAsia" w:ascii="Times New Roman" w:hAnsi="Times New Roman" w:eastAsia="方正黑体_GBK"/>
          <w:b/>
          <w:color w:val="000000" w:themeColor="text1"/>
          <w:sz w:val="36"/>
          <w14:textFill>
            <w14:solidFill>
              <w14:schemeClr w14:val="tx1"/>
            </w14:solidFill>
          </w14:textFill>
        </w:rPr>
        <w:t>监督索引号53042700247400000</w:t>
      </w:r>
    </w:p>
    <w:p>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br w:type="page"/>
      </w:r>
    </w:p>
    <w:p/>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E66D3F"/>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6266B"/>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Layout w:type="fixed"/>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99</Pages>
  <Words>54010</Words>
  <Characters>307862</Characters>
  <Lines>2565</Lines>
  <Paragraphs>722</Paragraphs>
  <TotalTime>1</TotalTime>
  <ScaleCrop>false</ScaleCrop>
  <LinksUpToDate>false</LinksUpToDate>
  <CharactersWithSpaces>361150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Administrator</cp:lastModifiedBy>
  <cp:lastPrinted>2019-11-07T08:57:00Z</cp:lastPrinted>
  <dcterms:modified xsi:type="dcterms:W3CDTF">2024-07-23T02:56:56Z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410B6B216AFC461BA7AC7F4D2639FF87_13</vt:lpwstr>
  </property>
</Properties>
</file>