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玉溪市江川区人民政府办公室</w:t>
      </w:r>
      <w:r>
        <w:rPr>
          <w:rFonts w:hint="eastAsia" w:ascii="方正小标宋_GBK" w:hAnsi="方正小标宋_GBK" w:eastAsia="方正小标宋_GBK" w:cs="方正小标宋_GBK"/>
          <w:spacing w:val="0"/>
          <w:sz w:val="44"/>
          <w:szCs w:val="44"/>
          <w:lang w:val="en-US" w:eastAsia="zh-CN"/>
        </w:rPr>
        <w:t>2024</w:t>
      </w:r>
      <w:r>
        <w:rPr>
          <w:rFonts w:hint="eastAsia" w:ascii="方正小标宋_GBK" w:hAnsi="方正小标宋_GBK" w:eastAsia="方正小标宋_GBK" w:cs="方正小标宋_GBK"/>
          <w:spacing w:val="0"/>
          <w:sz w:val="44"/>
          <w:szCs w:val="44"/>
          <w:lang w:eastAsia="zh-CN"/>
        </w:rPr>
        <w:t>年</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auto"/>
          <w:spacing w:val="0"/>
          <w:sz w:val="44"/>
          <w:szCs w:val="44"/>
          <w:highlight w:val="none"/>
          <w:lang w:val="en-US" w:eastAsia="zh-CN"/>
        </w:rPr>
      </w:pPr>
      <w:r>
        <w:rPr>
          <w:rFonts w:hint="eastAsia" w:ascii="方正小标宋_GBK" w:hAnsi="方正小标宋_GBK" w:eastAsia="方正小标宋_GBK" w:cs="方正小标宋_GBK"/>
          <w:color w:val="auto"/>
          <w:spacing w:val="0"/>
          <w:sz w:val="44"/>
          <w:szCs w:val="44"/>
          <w:highlight w:val="none"/>
          <w:lang w:val="en-US" w:eastAsia="zh-CN"/>
        </w:rPr>
        <w:t>预算重点领域财政项目文本公开</w:t>
      </w: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仿宋_GBK" w:hAnsi="方正仿宋_GBK" w:eastAsia="方正仿宋_GBK" w:cs="方正仿宋_GBK"/>
          <w:color w:val="auto"/>
          <w:spacing w:val="0"/>
          <w:kern w:val="0"/>
          <w:sz w:val="32"/>
          <w:szCs w:val="32"/>
          <w:highlight w:val="none"/>
          <w:lang w:val="en-US" w:eastAsia="zh-CN"/>
        </w:rPr>
      </w:pPr>
      <w:r>
        <w:rPr>
          <w:rFonts w:hint="eastAsia" w:ascii="方正仿宋_GBK" w:hAnsi="方正仿宋_GBK" w:eastAsia="方正仿宋_GBK" w:cs="方正仿宋_GBK"/>
          <w:b/>
          <w:bCs/>
          <w:color w:val="auto"/>
          <w:spacing w:val="0"/>
          <w:kern w:val="0"/>
          <w:sz w:val="36"/>
          <w:szCs w:val="36"/>
          <w:highlight w:val="none"/>
          <w:lang w:val="en-US" w:eastAsia="zh-CN"/>
        </w:rPr>
        <w:t>重点领域财政项目（一）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方正仿宋_GBK" w:hAnsi="方正仿宋_GBK" w:eastAsia="方正仿宋_GBK" w:cs="方正仿宋_GBK"/>
          <w:color w:val="auto"/>
          <w:spacing w:val="0"/>
          <w:kern w:val="0"/>
          <w:sz w:val="32"/>
          <w:szCs w:val="32"/>
          <w:highlight w:val="none"/>
          <w:lang w:eastAsia="zh-CN"/>
        </w:rPr>
      </w:pPr>
      <w:r>
        <w:rPr>
          <w:rFonts w:hint="default" w:ascii="方正仿宋_GBK" w:hAnsi="方正仿宋_GBK" w:eastAsia="方正仿宋_GBK" w:cs="方正仿宋_GBK"/>
          <w:color w:val="auto"/>
          <w:spacing w:val="0"/>
          <w:kern w:val="0"/>
          <w:sz w:val="32"/>
          <w:szCs w:val="32"/>
          <w:highlight w:val="none"/>
          <w:lang w:eastAsia="zh-CN"/>
        </w:rPr>
        <w:t>综合业务经费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pacing w:val="0"/>
          <w:sz w:val="32"/>
          <w:szCs w:val="32"/>
          <w:lang w:eastAsia="zh-CN"/>
        </w:rPr>
        <w:t>区政府办是全区的窗口单位，单位本着“高效、廉洁、务实”的原则，切实履行好“参与政务、管理事务、搞好服务”的职能，充分发挥好承上启下、协调各方的作用。</w:t>
      </w:r>
      <w:r>
        <w:rPr>
          <w:rFonts w:hint="eastAsia" w:ascii="Times New Roman" w:hAnsi="Times New Roman" w:eastAsia="方正仿宋_GBK" w:cs="Times New Roman"/>
          <w:spacing w:val="0"/>
          <w:sz w:val="32"/>
          <w:szCs w:val="32"/>
          <w:lang w:val="en-US" w:eastAsia="zh-CN"/>
        </w:rPr>
        <w:t>区</w:t>
      </w:r>
      <w:r>
        <w:rPr>
          <w:rFonts w:hint="eastAsia" w:ascii="仿宋" w:hAnsi="仿宋" w:eastAsia="仿宋" w:cs="仿宋"/>
          <w:sz w:val="32"/>
          <w:szCs w:val="32"/>
          <w:lang w:eastAsia="zh-CN"/>
        </w:rPr>
        <w:t>政府</w:t>
      </w:r>
      <w:r>
        <w:rPr>
          <w:rFonts w:hint="eastAsia" w:ascii="仿宋" w:hAnsi="仿宋" w:eastAsia="仿宋" w:cs="仿宋"/>
          <w:sz w:val="32"/>
          <w:szCs w:val="32"/>
        </w:rPr>
        <w:t>办</w:t>
      </w:r>
      <w:r>
        <w:rPr>
          <w:rFonts w:hint="eastAsia" w:ascii="仿宋" w:hAnsi="仿宋" w:eastAsia="仿宋" w:cs="仿宋"/>
          <w:sz w:val="32"/>
          <w:szCs w:val="32"/>
          <w:lang w:eastAsia="zh-CN"/>
        </w:rPr>
        <w:t>共设置</w:t>
      </w:r>
      <w:r>
        <w:rPr>
          <w:rFonts w:hint="eastAsia" w:ascii="仿宋" w:hAnsi="仿宋" w:eastAsia="仿宋" w:cs="仿宋"/>
          <w:sz w:val="32"/>
          <w:szCs w:val="32"/>
          <w:lang w:val="en-US" w:eastAsia="zh-CN"/>
        </w:rPr>
        <w:t>8</w:t>
      </w:r>
      <w:r>
        <w:rPr>
          <w:rFonts w:hint="eastAsia" w:ascii="仿宋" w:hAnsi="仿宋" w:eastAsia="仿宋" w:cs="仿宋"/>
          <w:sz w:val="32"/>
          <w:szCs w:val="32"/>
        </w:rPr>
        <w:t>个</w:t>
      </w:r>
      <w:r>
        <w:rPr>
          <w:rFonts w:hint="eastAsia" w:ascii="仿宋" w:hAnsi="仿宋" w:eastAsia="仿宋" w:cs="仿宋"/>
          <w:sz w:val="32"/>
          <w:szCs w:val="32"/>
          <w:lang w:eastAsia="zh-CN"/>
        </w:rPr>
        <w:t>内设机构</w:t>
      </w:r>
      <w:r>
        <w:rPr>
          <w:rFonts w:hint="eastAsia" w:ascii="仿宋" w:hAnsi="仿宋" w:eastAsia="仿宋" w:cs="仿宋"/>
          <w:sz w:val="32"/>
          <w:szCs w:val="32"/>
        </w:rPr>
        <w:t>，下属事业</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CN"/>
        </w:rPr>
        <w:t>1个（江川区经济社会发展研究中心，账务未独立核算，并入政府办一并核算）。临时成立的部门区城乡统筹办公室，水电费、办公用品、印刷费等办公经费都是从政府办经费列支；江川区有些重大项目的调研支出也是从政府办经费支出，这些经费年初都没有单独预算，</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lang w:val="en-US" w:eastAsia="zh-CN"/>
        </w:rPr>
        <w:t>保障区政府、区政府办各股室及下属单位的各项工作正常开展，政府办按在职在编人员测算的经费不能满足2024年度机关的正常运行，</w:t>
      </w:r>
      <w:r>
        <w:rPr>
          <w:rFonts w:hint="eastAsia" w:ascii="方正仿宋_GBK" w:hAnsi="方正仿宋_GBK" w:eastAsia="方正仿宋_GBK" w:cs="方正仿宋_GBK"/>
          <w:spacing w:val="0"/>
          <w:sz w:val="32"/>
          <w:szCs w:val="32"/>
          <w:lang w:val="en-US" w:eastAsia="zh-CN"/>
        </w:rPr>
        <w:t>经2023年10月7日政府办党组会议研究通过，</w:t>
      </w:r>
      <w:r>
        <w:rPr>
          <w:rFonts w:hint="eastAsia" w:ascii="方正仿宋_GBK" w:hAnsi="方正仿宋_GBK" w:eastAsia="方正仿宋_GBK" w:cs="方正仿宋_GBK"/>
          <w:sz w:val="32"/>
          <w:szCs w:val="32"/>
          <w:lang w:val="en-US" w:eastAsia="zh-CN"/>
        </w:rPr>
        <w:t>还需额外安排综合业务经费40.00万元。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三、项目实施单位</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lang w:eastAsia="zh-CN"/>
        </w:rPr>
        <w:t>玉溪市江川区人民政府办公室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四、项目基本概况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在2024年度预算中安排综合业务经费40.00万元，用于保障政府办及下属机构及相关临时成立机构的正常运转。</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b w:val="0"/>
          <w:bCs w:val="0"/>
          <w:spacing w:val="0"/>
          <w:sz w:val="32"/>
          <w:szCs w:val="32"/>
          <w:lang w:val="en-US" w:eastAsia="zh-CN"/>
        </w:rPr>
      </w:pPr>
      <w:r>
        <w:rPr>
          <w:rFonts w:hint="eastAsia" w:ascii="方正黑体_GBK" w:hAnsi="方正黑体_GBK" w:eastAsia="方正黑体_GBK" w:cs="方正黑体_GBK"/>
          <w:color w:val="auto"/>
          <w:spacing w:val="0"/>
          <w:kern w:val="0"/>
          <w:sz w:val="32"/>
          <w:szCs w:val="32"/>
          <w:highlight w:val="none"/>
          <w:lang w:eastAsia="zh-CN"/>
        </w:rPr>
        <w:t>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202</w:t>
      </w:r>
      <w:r>
        <w:rPr>
          <w:rFonts w:hint="eastAsia" w:eastAsia="方正仿宋_GBK" w:cs="Times New Roman"/>
          <w:spacing w:val="0"/>
          <w:sz w:val="32"/>
          <w:szCs w:val="32"/>
          <w:lang w:val="en-US" w:eastAsia="zh-CN"/>
        </w:rPr>
        <w:t>3</w:t>
      </w:r>
      <w:r>
        <w:rPr>
          <w:rFonts w:hint="eastAsia" w:ascii="Times New Roman" w:hAnsi="Times New Roman" w:eastAsia="方正仿宋_GBK" w:cs="Times New Roman"/>
          <w:spacing w:val="0"/>
          <w:sz w:val="32"/>
          <w:szCs w:val="32"/>
          <w:lang w:val="en-US" w:eastAsia="zh-CN"/>
        </w:rPr>
        <w:t>年12月，完成经费预算。</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202</w:t>
      </w:r>
      <w:r>
        <w:rPr>
          <w:rFonts w:hint="eastAsia" w:eastAsia="方正仿宋_GBK" w:cs="Times New Roman"/>
          <w:spacing w:val="0"/>
          <w:sz w:val="32"/>
          <w:szCs w:val="32"/>
          <w:lang w:val="en-US" w:eastAsia="zh-CN"/>
        </w:rPr>
        <w:t>4</w:t>
      </w:r>
      <w:r>
        <w:rPr>
          <w:rFonts w:hint="eastAsia" w:ascii="Times New Roman" w:hAnsi="Times New Roman" w:eastAsia="方正仿宋_GBK" w:cs="Times New Roman"/>
          <w:spacing w:val="0"/>
          <w:sz w:val="32"/>
          <w:szCs w:val="32"/>
          <w:lang w:val="en-US" w:eastAsia="zh-CN"/>
        </w:rPr>
        <w:t>年1-4季度，每季度争取拨付经费。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202</w:t>
      </w:r>
      <w:r>
        <w:rPr>
          <w:rFonts w:hint="eastAsia" w:eastAsia="方正仿宋_GBK" w:cs="Times New Roman"/>
          <w:spacing w:val="0"/>
          <w:sz w:val="32"/>
          <w:szCs w:val="32"/>
          <w:lang w:val="en-US" w:eastAsia="zh-CN"/>
        </w:rPr>
        <w:t>4</w:t>
      </w:r>
      <w:r>
        <w:rPr>
          <w:rFonts w:hint="eastAsia" w:ascii="Times New Roman" w:hAnsi="Times New Roman" w:eastAsia="方正仿宋_GBK" w:cs="Times New Roman"/>
          <w:spacing w:val="0"/>
          <w:sz w:val="32"/>
          <w:szCs w:val="32"/>
          <w:lang w:val="en-US" w:eastAsia="zh-CN"/>
        </w:rPr>
        <w:t>年全年，用于支</w:t>
      </w:r>
      <w:r>
        <w:rPr>
          <w:rFonts w:hint="eastAsia" w:eastAsia="方正仿宋_GBK" w:cs="Times New Roman"/>
          <w:spacing w:val="0"/>
          <w:sz w:val="32"/>
          <w:szCs w:val="32"/>
          <w:lang w:val="en-US" w:eastAsia="zh-CN"/>
        </w:rPr>
        <w:t>付</w:t>
      </w:r>
      <w:r>
        <w:rPr>
          <w:rFonts w:hint="eastAsia" w:ascii="Times New Roman" w:hAnsi="Times New Roman" w:eastAsia="方正仿宋_GBK" w:cs="Times New Roman"/>
          <w:spacing w:val="0"/>
          <w:sz w:val="32"/>
          <w:szCs w:val="32"/>
          <w:lang w:val="en-US" w:eastAsia="zh-CN"/>
        </w:rPr>
        <w:t>办公室各项业务活动的开展。</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资金安排情况</w:t>
      </w:r>
    </w:p>
    <w:p>
      <w:pPr>
        <w:pStyle w:val="2"/>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b w:val="0"/>
          <w:bCs w:val="0"/>
          <w:spacing w:val="0"/>
          <w:kern w:val="2"/>
          <w:sz w:val="32"/>
          <w:szCs w:val="32"/>
          <w:lang w:val="en-US" w:eastAsia="zh-CN" w:bidi="ar-SA"/>
        </w:rPr>
      </w:pPr>
      <w:r>
        <w:rPr>
          <w:rFonts w:hint="eastAsia" w:ascii="方正仿宋_GBK" w:hAnsi="方正仿宋_GBK" w:eastAsia="方正仿宋_GBK" w:cs="方正仿宋_GBK"/>
          <w:b w:val="0"/>
          <w:bCs w:val="0"/>
          <w:spacing w:val="0"/>
          <w:kern w:val="2"/>
          <w:sz w:val="32"/>
          <w:szCs w:val="32"/>
          <w:lang w:val="en-US" w:eastAsia="zh-CN" w:bidi="ar-SA"/>
        </w:rPr>
        <w:t>为保障办公室及下属单位及相关临时成立机构正常运转，每季度约需要经费10.00万元，全年总计40.00万元，具体经费细化如下：办公费11.00万元、印刷费8.00万元、水费2.00万元、电费1.00万元、维修（护）费1.00万元、会议费4.00万元、培训费1.00万元、差旅费4.00万元、其他交通费4.00万元、调研及创文创卫等支出4.00万元。</w:t>
      </w:r>
    </w:p>
    <w:p>
      <w:pPr>
        <w:pStyle w:val="2"/>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90" w:lineRule="exact"/>
        <w:ind w:left="638" w:leftChars="304" w:firstLine="0" w:firstLineChars="0"/>
        <w:jc w:val="both"/>
        <w:textAlignment w:val="auto"/>
        <w:rPr>
          <w:rFonts w:hint="eastAsia" w:ascii="方正黑体_GBK" w:hAnsi="方正黑体_GBK" w:eastAsia="方正黑体_GBK" w:cs="方正黑体_GBK"/>
          <w:b w:val="0"/>
          <w:bCs w:val="0"/>
          <w:color w:val="auto"/>
          <w:spacing w:val="0"/>
          <w:kern w:val="0"/>
          <w:sz w:val="32"/>
          <w:szCs w:val="32"/>
          <w:highlight w:val="none"/>
          <w:lang w:eastAsia="zh-CN"/>
        </w:rPr>
      </w:pPr>
      <w:r>
        <w:rPr>
          <w:rFonts w:hint="eastAsia" w:ascii="方正黑体_GBK" w:hAnsi="方正黑体_GBK" w:eastAsia="方正黑体_GBK" w:cs="方正黑体_GBK"/>
          <w:b w:val="0"/>
          <w:bCs w:val="0"/>
          <w:color w:val="auto"/>
          <w:spacing w:val="0"/>
          <w:kern w:val="0"/>
          <w:sz w:val="32"/>
          <w:szCs w:val="32"/>
          <w:highlight w:val="none"/>
          <w:lang w:eastAsia="zh-CN"/>
        </w:rPr>
        <w:t>七、项目实施计划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Times New Roman" w:hAnsi="Times New Roman" w:eastAsia="方正仿宋_GBK" w:cs="Times New Roman"/>
          <w:spacing w:val="0"/>
          <w:sz w:val="32"/>
          <w:szCs w:val="32"/>
          <w:lang w:val="en-US" w:eastAsia="zh-CN"/>
        </w:rPr>
        <w:t>202</w:t>
      </w:r>
      <w:r>
        <w:rPr>
          <w:rFonts w:hint="eastAsia" w:eastAsia="方正仿宋_GBK" w:cs="Times New Roman"/>
          <w:spacing w:val="0"/>
          <w:sz w:val="32"/>
          <w:szCs w:val="32"/>
          <w:lang w:val="en-US" w:eastAsia="zh-CN"/>
        </w:rPr>
        <w:t>4</w:t>
      </w:r>
      <w:r>
        <w:rPr>
          <w:rFonts w:hint="eastAsia" w:ascii="Times New Roman" w:hAnsi="Times New Roman" w:eastAsia="方正仿宋_GBK" w:cs="Times New Roman"/>
          <w:spacing w:val="0"/>
          <w:sz w:val="32"/>
          <w:szCs w:val="32"/>
          <w:lang w:val="en-US" w:eastAsia="zh-CN"/>
        </w:rPr>
        <w:t>年每季度支出</w:t>
      </w:r>
      <w:r>
        <w:rPr>
          <w:rFonts w:hint="eastAsia" w:eastAsia="方正仿宋_GBK" w:cs="Times New Roman"/>
          <w:spacing w:val="0"/>
          <w:sz w:val="32"/>
          <w:szCs w:val="32"/>
          <w:lang w:val="en-US" w:eastAsia="zh-CN"/>
        </w:rPr>
        <w:t>10.00</w:t>
      </w:r>
      <w:r>
        <w:rPr>
          <w:rFonts w:hint="eastAsia" w:ascii="Times New Roman" w:hAnsi="Times New Roman" w:eastAsia="方正仿宋_GBK" w:cs="Times New Roman"/>
          <w:spacing w:val="0"/>
          <w:sz w:val="32"/>
          <w:szCs w:val="32"/>
          <w:lang w:val="en-US" w:eastAsia="zh-CN"/>
        </w:rPr>
        <w:t>万元，</w:t>
      </w:r>
      <w:r>
        <w:rPr>
          <w:rFonts w:hint="eastAsia" w:ascii="Times New Roman" w:hAnsi="Times New Roman" w:eastAsia="方正仿宋_GBK" w:cs="Times New Roman"/>
          <w:spacing w:val="0"/>
          <w:sz w:val="32"/>
          <w:szCs w:val="32"/>
          <w:lang w:eastAsia="zh-CN"/>
        </w:rPr>
        <w:t>合计</w:t>
      </w:r>
      <w:r>
        <w:rPr>
          <w:rFonts w:hint="eastAsia" w:eastAsia="方正仿宋_GBK" w:cs="Times New Roman"/>
          <w:spacing w:val="0"/>
          <w:sz w:val="32"/>
          <w:szCs w:val="32"/>
          <w:lang w:val="en-US" w:eastAsia="zh-CN"/>
        </w:rPr>
        <w:t>40.00</w:t>
      </w:r>
      <w:r>
        <w:rPr>
          <w:rFonts w:hint="eastAsia" w:ascii="Times New Roman" w:hAnsi="Times New Roman" w:eastAsia="方正仿宋_GBK" w:cs="Times New Roman"/>
          <w:spacing w:val="0"/>
          <w:sz w:val="32"/>
          <w:szCs w:val="32"/>
          <w:lang w:val="en-US" w:eastAsia="zh-CN"/>
        </w:rPr>
        <w:t>万元，保证机构正常运转。</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八、项目实施成效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left"/>
        <w:textAlignment w:val="auto"/>
        <w:outlineLvl w:val="9"/>
        <w:rPr>
          <w:rFonts w:hint="eastAsia" w:ascii="方正仿宋_GBK" w:hAnsi="方正仿宋_GBK" w:eastAsia="方正仿宋_GBK" w:cs="方正仿宋_GBK"/>
          <w:b w:val="0"/>
          <w:bCs w:val="0"/>
          <w:spacing w:val="0"/>
          <w:kern w:val="2"/>
          <w:sz w:val="32"/>
          <w:szCs w:val="32"/>
          <w:lang w:val="en-US" w:eastAsia="zh-CN" w:bidi="ar-SA"/>
        </w:rPr>
      </w:pPr>
      <w:r>
        <w:rPr>
          <w:rFonts w:hint="eastAsia" w:ascii="Times New Roman" w:hAnsi="Times New Roman" w:eastAsia="方正仿宋_GBK" w:cs="Times New Roman"/>
          <w:spacing w:val="0"/>
          <w:sz w:val="32"/>
          <w:szCs w:val="32"/>
          <w:lang w:val="en-US" w:eastAsia="zh-CN"/>
        </w:rPr>
        <w:t xml:space="preserve">   </w:t>
      </w:r>
      <w:r>
        <w:rPr>
          <w:rFonts w:hint="eastAsia" w:eastAsia="方正仿宋_GBK" w:cs="Times New Roman"/>
          <w:spacing w:val="0"/>
          <w:sz w:val="32"/>
          <w:szCs w:val="32"/>
          <w:lang w:val="en-US" w:eastAsia="zh-CN"/>
        </w:rPr>
        <w:t xml:space="preserve"> </w:t>
      </w:r>
      <w:r>
        <w:rPr>
          <w:rFonts w:hint="eastAsia" w:ascii="方正仿宋_GBK" w:hAnsi="方正仿宋_GBK" w:eastAsia="方正仿宋_GBK" w:cs="方正仿宋_GBK"/>
          <w:b w:val="0"/>
          <w:bCs w:val="0"/>
          <w:spacing w:val="0"/>
          <w:kern w:val="2"/>
          <w:sz w:val="32"/>
          <w:szCs w:val="32"/>
          <w:lang w:val="en-US" w:eastAsia="zh-CN" w:bidi="ar-SA"/>
        </w:rPr>
        <w:t>聚焦区委、区政府中心工作，结合部门职能，统筹推进会议活动安排、信息文稿起草、督检考等各项工作，着力提高“三服务”能力和水平，保证机构高效运转，为有力推动江川经济社会跨越式发展贡献力量。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仿宋_GBK" w:hAnsi="方正仿宋_GBK" w:eastAsia="方正仿宋_GBK" w:cs="方正仿宋_GBK"/>
          <w:b/>
          <w:bCs/>
          <w:color w:val="auto"/>
          <w:spacing w:val="0"/>
          <w:kern w:val="0"/>
          <w:sz w:val="32"/>
          <w:szCs w:val="32"/>
          <w:highlight w:val="none"/>
          <w:lang w:val="en-US" w:eastAsia="zh-CN"/>
        </w:rPr>
      </w:pPr>
      <w:r>
        <w:rPr>
          <w:rFonts w:hint="eastAsia" w:ascii="方正仿宋_GBK" w:hAnsi="方正仿宋_GBK" w:eastAsia="方正仿宋_GBK" w:cs="方正仿宋_GBK"/>
          <w:b/>
          <w:bCs/>
          <w:color w:val="auto"/>
          <w:spacing w:val="0"/>
          <w:kern w:val="0"/>
          <w:sz w:val="36"/>
          <w:szCs w:val="36"/>
          <w:highlight w:val="none"/>
          <w:lang w:val="en-US" w:eastAsia="zh-CN"/>
        </w:rPr>
        <w:t>重点领域财政项目（二）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区政府全会经费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二、立项依据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仿宋_GBK" w:hAnsi="方正仿宋_GBK" w:eastAsia="方正仿宋_GBK" w:cs="方正仿宋_GBK"/>
          <w:b w:val="0"/>
          <w:bCs w:val="0"/>
          <w:color w:val="auto"/>
          <w:spacing w:val="0"/>
          <w:kern w:val="0"/>
          <w:sz w:val="32"/>
          <w:szCs w:val="32"/>
          <w:highlight w:val="none"/>
          <w:lang w:val="en-US" w:eastAsia="zh-CN" w:bidi="ar-SA"/>
        </w:rPr>
        <w:t>总结2023年度工作成效，安排部署2024年区政府各项重点工作。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三、项目实施单位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lang w:eastAsia="zh-CN"/>
        </w:rPr>
        <w:t>玉溪市江川区人民政府办公室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黑体_GBK" w:hAnsi="方正黑体_GBK" w:eastAsia="方正黑体_GBK" w:cs="方正黑体_GBK"/>
          <w:color w:val="auto"/>
          <w:spacing w:val="0"/>
          <w:kern w:val="0"/>
          <w:sz w:val="32"/>
          <w:szCs w:val="32"/>
          <w:highlight w:val="none"/>
          <w:lang w:eastAsia="zh-CN"/>
        </w:rPr>
        <w:t>四、项目基本概况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仿宋_GBK" w:hAnsi="方正仿宋_GBK" w:eastAsia="方正仿宋_GBK" w:cs="方正仿宋_GBK"/>
          <w:b w:val="0"/>
          <w:bCs w:val="0"/>
          <w:color w:val="auto"/>
          <w:spacing w:val="0"/>
          <w:kern w:val="0"/>
          <w:sz w:val="32"/>
          <w:szCs w:val="32"/>
          <w:highlight w:val="none"/>
          <w:lang w:val="en-US" w:eastAsia="zh-CN" w:bidi="ar-SA"/>
        </w:rPr>
        <w:t>2024年初召开区政府全会，会期1天，所需经费5万元。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b w:val="0"/>
          <w:bCs w:val="0"/>
          <w:color w:val="auto"/>
          <w:spacing w:val="0"/>
          <w:kern w:val="0"/>
          <w:sz w:val="32"/>
          <w:szCs w:val="32"/>
          <w:highlight w:val="none"/>
          <w:lang w:val="en-US" w:eastAsia="zh-CN" w:bidi="ar-SA"/>
        </w:rPr>
        <w:t>五、</w:t>
      </w:r>
      <w:r>
        <w:rPr>
          <w:rFonts w:hint="eastAsia" w:ascii="方正黑体_GBK" w:hAnsi="方正黑体_GBK" w:eastAsia="方正黑体_GBK" w:cs="方正黑体_GBK"/>
          <w:color w:val="auto"/>
          <w:spacing w:val="0"/>
          <w:kern w:val="0"/>
          <w:sz w:val="32"/>
          <w:szCs w:val="32"/>
          <w:highlight w:val="none"/>
          <w:lang w:eastAsia="zh-CN"/>
        </w:rPr>
        <w:t>项目实施内容</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方正仿宋_GBK" w:hAnsi="方正仿宋_GBK" w:eastAsia="方正仿宋_GBK" w:cs="方正仿宋_GBK"/>
          <w:b w:val="0"/>
          <w:bCs w:val="0"/>
          <w:color w:val="auto"/>
          <w:spacing w:val="0"/>
          <w:kern w:val="0"/>
          <w:sz w:val="32"/>
          <w:szCs w:val="32"/>
          <w:highlight w:val="none"/>
          <w:lang w:val="en-US" w:eastAsia="zh-CN" w:bidi="ar-SA"/>
        </w:rPr>
        <w:t>2024年初召开区政府全会。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1.伙食费1.6万元，参会人数约160人</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lang w:eastAsia="zh-CN"/>
        </w:rPr>
        <w:t>按</w:t>
      </w:r>
      <w:r>
        <w:rPr>
          <w:rFonts w:hint="eastAsia" w:ascii="方正仿宋_GBK" w:hAnsi="方正仿宋_GBK" w:eastAsia="方正仿宋_GBK" w:cs="方正仿宋_GBK"/>
          <w:spacing w:val="0"/>
          <w:sz w:val="32"/>
          <w:szCs w:val="32"/>
          <w:lang w:val="en-US" w:eastAsia="zh-CN"/>
        </w:rPr>
        <w:t>100元/人.天计算。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eastAsia="zh-CN"/>
        </w:rPr>
        <w:t>会场费</w:t>
      </w:r>
      <w:r>
        <w:rPr>
          <w:rFonts w:hint="eastAsia" w:ascii="方正仿宋_GBK" w:hAnsi="方正仿宋_GBK" w:eastAsia="方正仿宋_GBK" w:cs="方正仿宋_GBK"/>
          <w:spacing w:val="0"/>
          <w:sz w:val="32"/>
          <w:szCs w:val="32"/>
          <w:lang w:val="en-US" w:eastAsia="zh-CN"/>
        </w:rPr>
        <w:t>0.8万</w:t>
      </w:r>
      <w:r>
        <w:rPr>
          <w:rFonts w:hint="eastAsia" w:ascii="方正仿宋_GBK" w:hAnsi="方正仿宋_GBK" w:eastAsia="方正仿宋_GBK" w:cs="方正仿宋_GBK"/>
          <w:spacing w:val="0"/>
          <w:sz w:val="32"/>
          <w:szCs w:val="32"/>
        </w:rPr>
        <w:t>元</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3.材料费0.6万元。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eastAsia="zh-CN"/>
        </w:rPr>
        <w:t>交通费、医疗费等其他费用</w:t>
      </w:r>
      <w:r>
        <w:rPr>
          <w:rFonts w:hint="eastAsia" w:ascii="方正仿宋_GBK" w:hAnsi="方正仿宋_GBK" w:eastAsia="方正仿宋_GBK" w:cs="方正仿宋_GBK"/>
          <w:spacing w:val="0"/>
          <w:sz w:val="32"/>
          <w:szCs w:val="32"/>
          <w:lang w:val="en-US" w:eastAsia="zh-CN"/>
        </w:rPr>
        <w:t>2万元。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七、项目实施计划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黑体_GBK" w:hAnsi="方正黑体_GBK" w:eastAsia="方正黑体_GBK" w:cs="方正黑体_GBK"/>
          <w:color w:val="auto"/>
          <w:spacing w:val="0"/>
          <w:kern w:val="0"/>
          <w:sz w:val="32"/>
          <w:szCs w:val="32"/>
          <w:highlight w:val="none"/>
          <w:lang w:val="en-US" w:eastAsia="zh-CN"/>
        </w:rPr>
        <w:t xml:space="preserve"> </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成立会议筹备工作领导小组，年初按时召开会议。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八、项目实施成效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方正仿宋_GBK" w:hAnsi="方正仿宋_GBK" w:eastAsia="方正仿宋_GBK" w:cs="方正仿宋_GBK"/>
          <w:b w:val="0"/>
          <w:bCs w:val="0"/>
          <w:color w:val="auto"/>
          <w:spacing w:val="0"/>
          <w:kern w:val="0"/>
          <w:sz w:val="32"/>
          <w:szCs w:val="32"/>
          <w:highlight w:val="none"/>
          <w:lang w:val="en-US" w:eastAsia="zh-CN" w:bidi="ar-SA"/>
        </w:rPr>
      </w:pPr>
      <w:r>
        <w:rPr>
          <w:rFonts w:hint="default" w:ascii="方正仿宋_GBK" w:hAnsi="方正仿宋_GBK" w:eastAsia="方正仿宋_GBK" w:cs="方正仿宋_GBK"/>
          <w:b w:val="0"/>
          <w:bCs w:val="0"/>
          <w:color w:val="auto"/>
          <w:spacing w:val="0"/>
          <w:kern w:val="0"/>
          <w:sz w:val="32"/>
          <w:szCs w:val="32"/>
          <w:highlight w:val="none"/>
          <w:lang w:val="en-US" w:eastAsia="zh-CN" w:bidi="ar-SA"/>
        </w:rPr>
        <w:t>召开区政府全会是区政府的重要工作，主要是总结202</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3</w:t>
      </w:r>
      <w:r>
        <w:rPr>
          <w:rFonts w:hint="default" w:ascii="方正仿宋_GBK" w:hAnsi="方正仿宋_GBK" w:eastAsia="方正仿宋_GBK" w:cs="方正仿宋_GBK"/>
          <w:b w:val="0"/>
          <w:bCs w:val="0"/>
          <w:color w:val="auto"/>
          <w:spacing w:val="0"/>
          <w:kern w:val="0"/>
          <w:sz w:val="32"/>
          <w:szCs w:val="32"/>
          <w:highlight w:val="none"/>
          <w:lang w:val="en-US" w:eastAsia="zh-CN" w:bidi="ar-SA"/>
        </w:rPr>
        <w:t>年度政府工作成效，安排部署202</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4</w:t>
      </w:r>
      <w:r>
        <w:rPr>
          <w:rFonts w:hint="default" w:ascii="方正仿宋_GBK" w:hAnsi="方正仿宋_GBK" w:eastAsia="方正仿宋_GBK" w:cs="方正仿宋_GBK"/>
          <w:b w:val="0"/>
          <w:bCs w:val="0"/>
          <w:color w:val="auto"/>
          <w:spacing w:val="0"/>
          <w:kern w:val="0"/>
          <w:sz w:val="32"/>
          <w:szCs w:val="32"/>
          <w:highlight w:val="none"/>
          <w:lang w:val="en-US" w:eastAsia="zh-CN" w:bidi="ar-SA"/>
        </w:rPr>
        <w:t>年各项重点工作，动员全区上下进一步紧扣各级决策部署，一以贯之，一鼓作气，坚决确保全年各项目标任务决战决胜，奋力开创政府工作新局面。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720" w:firstLineChars="200"/>
        <w:jc w:val="both"/>
        <w:textAlignment w:val="auto"/>
        <w:outlineLvl w:val="9"/>
        <w:rPr>
          <w:rFonts w:hint="default" w:ascii="方正小标宋简体" w:hAnsi="方正小标宋简体" w:eastAsia="方正小标宋简体" w:cs="方正小标宋简体"/>
          <w:color w:val="auto"/>
          <w:spacing w:val="0"/>
          <w:kern w:val="0"/>
          <w:sz w:val="36"/>
          <w:szCs w:val="36"/>
          <w:highlight w:val="none"/>
          <w:lang w:val="en-US" w:eastAsia="zh-CN"/>
        </w:rPr>
      </w:pPr>
    </w:p>
    <w:p>
      <w:pPr>
        <w:pStyle w:val="2"/>
        <w:rPr>
          <w:rFonts w:hint="default" w:ascii="方正小标宋简体" w:hAnsi="方正小标宋简体" w:eastAsia="方正小标宋简体" w:cs="方正小标宋简体"/>
          <w:color w:val="auto"/>
          <w:spacing w:val="0"/>
          <w:kern w:val="0"/>
          <w:sz w:val="36"/>
          <w:szCs w:val="36"/>
          <w:highlight w:val="none"/>
          <w:lang w:val="en-US" w:eastAsia="zh-CN"/>
        </w:rPr>
      </w:pPr>
    </w:p>
    <w:p>
      <w:pPr>
        <w:rPr>
          <w:rFonts w:hint="default" w:ascii="方正小标宋简体" w:hAnsi="方正小标宋简体" w:eastAsia="方正小标宋简体" w:cs="方正小标宋简体"/>
          <w:color w:val="auto"/>
          <w:spacing w:val="0"/>
          <w:kern w:val="0"/>
          <w:sz w:val="36"/>
          <w:szCs w:val="36"/>
          <w:highlight w:val="none"/>
          <w:lang w:val="en-US" w:eastAsia="zh-CN"/>
        </w:rPr>
      </w:pPr>
    </w:p>
    <w:p>
      <w:pPr>
        <w:pStyle w:val="2"/>
        <w:rPr>
          <w:rFonts w:hint="default" w:ascii="方正小标宋简体" w:hAnsi="方正小标宋简体" w:eastAsia="方正小标宋简体" w:cs="方正小标宋简体"/>
          <w:color w:val="auto"/>
          <w:spacing w:val="0"/>
          <w:kern w:val="0"/>
          <w:sz w:val="36"/>
          <w:szCs w:val="36"/>
          <w:highlight w:val="none"/>
          <w:lang w:val="en-US" w:eastAsia="zh-CN"/>
        </w:rPr>
      </w:pPr>
    </w:p>
    <w:p>
      <w:pPr>
        <w:rPr>
          <w:rFonts w:hint="default" w:ascii="方正小标宋简体" w:hAnsi="方正小标宋简体" w:eastAsia="方正小标宋简体" w:cs="方正小标宋简体"/>
          <w:color w:val="auto"/>
          <w:spacing w:val="0"/>
          <w:kern w:val="0"/>
          <w:sz w:val="36"/>
          <w:szCs w:val="36"/>
          <w:highlight w:val="none"/>
          <w:lang w:val="en-US" w:eastAsia="zh-CN"/>
        </w:rPr>
      </w:pPr>
    </w:p>
    <w:p>
      <w:pPr>
        <w:pStyle w:val="2"/>
        <w:rPr>
          <w:rFonts w:hint="default" w:ascii="方正小标宋简体" w:hAnsi="方正小标宋简体" w:eastAsia="方正小标宋简体" w:cs="方正小标宋简体"/>
          <w:color w:val="auto"/>
          <w:spacing w:val="0"/>
          <w:kern w:val="0"/>
          <w:sz w:val="36"/>
          <w:szCs w:val="36"/>
          <w:highlight w:val="none"/>
          <w:lang w:val="en-US" w:eastAsia="zh-CN"/>
        </w:rPr>
      </w:pPr>
    </w:p>
    <w:p>
      <w:pPr>
        <w:rPr>
          <w:rFonts w:hint="default" w:ascii="方正小标宋简体" w:hAnsi="方正小标宋简体" w:eastAsia="方正小标宋简体" w:cs="方正小标宋简体"/>
          <w:color w:val="auto"/>
          <w:spacing w:val="0"/>
          <w:kern w:val="0"/>
          <w:sz w:val="36"/>
          <w:szCs w:val="36"/>
          <w:highlight w:val="none"/>
          <w:lang w:val="en-US" w:eastAsia="zh-CN"/>
        </w:rPr>
      </w:pPr>
    </w:p>
    <w:p>
      <w:pPr>
        <w:pStyle w:val="2"/>
        <w:rPr>
          <w:rFonts w:hint="default" w:ascii="方正小标宋简体" w:hAnsi="方正小标宋简体" w:eastAsia="方正小标宋简体" w:cs="方正小标宋简体"/>
          <w:color w:val="auto"/>
          <w:spacing w:val="0"/>
          <w:kern w:val="0"/>
          <w:sz w:val="36"/>
          <w:szCs w:val="36"/>
          <w:highlight w:val="none"/>
          <w:lang w:val="en-US" w:eastAsia="zh-CN"/>
        </w:rPr>
      </w:pPr>
    </w:p>
    <w:p>
      <w:pPr>
        <w:rPr>
          <w:rFonts w:hint="default"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仿宋_GBK" w:hAnsi="方正仿宋_GBK" w:eastAsia="方正仿宋_GBK" w:cs="方正仿宋_GBK"/>
          <w:b/>
          <w:bCs/>
          <w:color w:val="auto"/>
          <w:spacing w:val="0"/>
          <w:kern w:val="0"/>
          <w:sz w:val="32"/>
          <w:szCs w:val="32"/>
          <w:highlight w:val="none"/>
          <w:lang w:val="en-US" w:eastAsia="zh-CN"/>
        </w:rPr>
      </w:pPr>
      <w:r>
        <w:rPr>
          <w:rFonts w:hint="eastAsia" w:ascii="方正仿宋_GBK" w:hAnsi="方正仿宋_GBK" w:eastAsia="方正仿宋_GBK" w:cs="方正仿宋_GBK"/>
          <w:b/>
          <w:bCs/>
          <w:color w:val="auto"/>
          <w:spacing w:val="0"/>
          <w:kern w:val="0"/>
          <w:sz w:val="36"/>
          <w:szCs w:val="36"/>
          <w:highlight w:val="none"/>
          <w:lang w:val="en-US" w:eastAsia="zh-CN"/>
        </w:rPr>
        <w:t>重点领域财政项目（三）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仿宋_GBK" w:hAnsi="方正仿宋_GBK" w:eastAsia="方正仿宋_GBK" w:cs="方正仿宋_GBK"/>
          <w:b w:val="0"/>
          <w:bCs w:val="0"/>
          <w:color w:val="auto"/>
          <w:spacing w:val="0"/>
          <w:kern w:val="0"/>
          <w:sz w:val="32"/>
          <w:szCs w:val="32"/>
          <w:highlight w:val="none"/>
          <w:lang w:val="en-US" w:eastAsia="zh-CN" w:bidi="ar-SA"/>
        </w:rPr>
        <w:t>遗属补助经费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二、立项依据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仿宋_GBK" w:hAnsi="方正仿宋_GBK" w:eastAsia="方正仿宋_GBK" w:cs="方正仿宋_GBK"/>
          <w:b w:val="0"/>
          <w:bCs w:val="0"/>
          <w:color w:val="auto"/>
          <w:spacing w:val="0"/>
          <w:kern w:val="0"/>
          <w:sz w:val="32"/>
          <w:szCs w:val="32"/>
          <w:highlight w:val="none"/>
          <w:lang w:val="en-US" w:eastAsia="zh-CN" w:bidi="ar-SA"/>
        </w:rPr>
        <w:t>根据玉人社发〔2020〕6</w:t>
      </w:r>
      <w:bookmarkStart w:id="0" w:name="_GoBack"/>
      <w:bookmarkEnd w:id="0"/>
      <w:r>
        <w:rPr>
          <w:rFonts w:hint="eastAsia" w:ascii="方正仿宋_GBK" w:hAnsi="方正仿宋_GBK" w:eastAsia="方正仿宋_GBK" w:cs="方正仿宋_GBK"/>
          <w:b w:val="0"/>
          <w:bCs w:val="0"/>
          <w:color w:val="auto"/>
          <w:spacing w:val="0"/>
          <w:kern w:val="0"/>
          <w:sz w:val="32"/>
          <w:szCs w:val="32"/>
          <w:highlight w:val="none"/>
          <w:lang w:val="en-US" w:eastAsia="zh-CN" w:bidi="ar-SA"/>
        </w:rPr>
        <w:t>3号_中共玉溪市委组织部玉溪市人力资源和社会保障局关于调整玉溪市市直机关事业单位遗属生活困难补助有关问题的通知以及江川区调整机关事业单位遗属生活困难补助有关问题的通知，江川区政府办及时完成本单位遗属的提标任务，让困难群众及时享受到政策实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三、项目实施单位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仿宋_GBK" w:hAnsi="方正仿宋_GBK" w:eastAsia="方正仿宋_GBK" w:cs="方正仿宋_GBK"/>
          <w:b w:val="0"/>
          <w:bCs w:val="0"/>
          <w:color w:val="auto"/>
          <w:spacing w:val="0"/>
          <w:kern w:val="0"/>
          <w:sz w:val="32"/>
          <w:szCs w:val="32"/>
          <w:highlight w:val="none"/>
          <w:lang w:val="en-US" w:eastAsia="zh-CN" w:bidi="ar-SA"/>
        </w:rPr>
        <w:t>玉溪市江川区人民政府办公室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四、项目基本概况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仿宋_GBK" w:hAnsi="方正仿宋_GBK" w:eastAsia="方正仿宋_GBK" w:cs="方正仿宋_GBK"/>
          <w:b w:val="0"/>
          <w:bCs w:val="0"/>
          <w:color w:val="auto"/>
          <w:spacing w:val="0"/>
          <w:kern w:val="0"/>
          <w:sz w:val="32"/>
          <w:szCs w:val="32"/>
          <w:highlight w:val="none"/>
          <w:lang w:val="en-US" w:eastAsia="zh-CN" w:bidi="ar-SA"/>
        </w:rPr>
        <w:t>开展好江川区政府办</w:t>
      </w:r>
      <w:r>
        <w:rPr>
          <w:rFonts w:hint="default" w:ascii="方正仿宋_GBK" w:hAnsi="方正仿宋_GBK" w:eastAsia="方正仿宋_GBK" w:cs="方正仿宋_GBK"/>
          <w:b w:val="0"/>
          <w:bCs w:val="0"/>
          <w:color w:val="auto"/>
          <w:spacing w:val="0"/>
          <w:kern w:val="0"/>
          <w:sz w:val="32"/>
          <w:szCs w:val="32"/>
          <w:highlight w:val="none"/>
          <w:lang w:val="en-US" w:eastAsia="zh-CN" w:bidi="ar-SA"/>
        </w:rPr>
        <w:t>遗属</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的服务管理工作，让困难群众及时享受到政策实惠，从而帮助受助对象生活状况提到改善。</w:t>
      </w:r>
    </w:p>
    <w:p>
      <w:pPr>
        <w:widowControl/>
        <w:numPr>
          <w:numId w:val="0"/>
        </w:numPr>
        <w:ind w:firstLine="640" w:firstLineChars="200"/>
        <w:jc w:val="left"/>
        <w:rPr>
          <w:rFonts w:hint="eastAsia" w:ascii="黑体" w:hAnsi="黑体" w:eastAsia="黑体" w:cs="黑体"/>
          <w:kern w:val="0"/>
          <w:sz w:val="32"/>
          <w:szCs w:val="32"/>
        </w:rPr>
      </w:pPr>
      <w:r>
        <w:rPr>
          <w:rFonts w:hint="eastAsia" w:ascii="方正黑体_GBK" w:hAnsi="方正黑体_GBK" w:eastAsia="方正黑体_GBK" w:cs="方正黑体_GBK"/>
          <w:kern w:val="0"/>
          <w:sz w:val="32"/>
          <w:szCs w:val="32"/>
          <w:lang w:eastAsia="zh-CN"/>
        </w:rPr>
        <w:t>五、</w:t>
      </w:r>
      <w:r>
        <w:rPr>
          <w:rFonts w:hint="eastAsia" w:ascii="黑体" w:hAnsi="黑体" w:eastAsia="黑体" w:cs="黑体"/>
          <w:kern w:val="0"/>
          <w:sz w:val="32"/>
          <w:szCs w:val="32"/>
        </w:rPr>
        <w:t>项目实施内容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仿宋_GBK" w:hAnsi="方正仿宋_GBK" w:eastAsia="方正仿宋_GBK" w:cs="方正仿宋_GBK"/>
          <w:b w:val="0"/>
          <w:bCs w:val="0"/>
          <w:color w:val="auto"/>
          <w:spacing w:val="0"/>
          <w:kern w:val="0"/>
          <w:sz w:val="32"/>
          <w:szCs w:val="32"/>
          <w:highlight w:val="none"/>
          <w:lang w:val="en-US" w:eastAsia="zh-CN" w:bidi="ar-SA"/>
        </w:rPr>
        <w:t>对江川区政府办</w:t>
      </w:r>
      <w:r>
        <w:rPr>
          <w:rFonts w:hint="default" w:ascii="方正仿宋_GBK" w:hAnsi="方正仿宋_GBK" w:eastAsia="方正仿宋_GBK" w:cs="方正仿宋_GBK"/>
          <w:b w:val="0"/>
          <w:bCs w:val="0"/>
          <w:color w:val="auto"/>
          <w:spacing w:val="0"/>
          <w:kern w:val="0"/>
          <w:sz w:val="32"/>
          <w:szCs w:val="32"/>
          <w:highlight w:val="none"/>
          <w:lang w:val="en-US" w:eastAsia="zh-CN" w:bidi="ar-SA"/>
        </w:rPr>
        <w:t>遗属</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进行生活补助，补助经费的使用遵循“合理、务实、有效、节约”的原则，按照具体实施措施，据实列支。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六、资金安排情况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default" w:ascii="方正仿宋_GBK" w:hAnsi="方正仿宋_GBK" w:eastAsia="方正仿宋_GBK" w:cs="方正仿宋_GBK"/>
          <w:b w:val="0"/>
          <w:bCs w:val="0"/>
          <w:color w:val="auto"/>
          <w:spacing w:val="0"/>
          <w:kern w:val="0"/>
          <w:sz w:val="32"/>
          <w:szCs w:val="32"/>
          <w:highlight w:val="none"/>
          <w:lang w:val="en-US" w:eastAsia="zh-CN" w:bidi="ar-SA"/>
        </w:rPr>
        <w:t>本项目计划安排资金</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27,060.00元，用于发放江川区政府办</w:t>
      </w:r>
      <w:r>
        <w:rPr>
          <w:rFonts w:hint="default" w:ascii="方正仿宋_GBK" w:hAnsi="方正仿宋_GBK" w:eastAsia="方正仿宋_GBK" w:cs="方正仿宋_GBK"/>
          <w:b w:val="0"/>
          <w:bCs w:val="0"/>
          <w:color w:val="auto"/>
          <w:spacing w:val="0"/>
          <w:kern w:val="0"/>
          <w:sz w:val="32"/>
          <w:szCs w:val="32"/>
          <w:highlight w:val="none"/>
          <w:lang w:val="en-US" w:eastAsia="zh-CN" w:bidi="ar-SA"/>
        </w:rPr>
        <w:t>遗属</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生活补助。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七、项目实施计划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仿宋_GBK" w:hAnsi="方正仿宋_GBK" w:eastAsia="方正仿宋_GBK" w:cs="方正仿宋_GBK"/>
          <w:b w:val="0"/>
          <w:bCs w:val="0"/>
          <w:color w:val="auto"/>
          <w:spacing w:val="0"/>
          <w:kern w:val="0"/>
          <w:sz w:val="32"/>
          <w:szCs w:val="32"/>
          <w:highlight w:val="none"/>
          <w:lang w:val="en-US" w:eastAsia="zh-CN" w:bidi="ar-SA"/>
        </w:rPr>
        <w:t>健全遗属补助经费保障机制，具体措施是:遗属补助经费列入单位年度财政预算予以保障。补助标准：947元/人/月*1人*12月、654元/人/月*2人*12月。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八、项目实施成效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仿宋_GBK" w:hAnsi="方正仿宋_GBK" w:eastAsia="方正仿宋_GBK" w:cs="方正仿宋_GBK"/>
          <w:b w:val="0"/>
          <w:bCs w:val="0"/>
          <w:color w:val="auto"/>
          <w:spacing w:val="0"/>
          <w:kern w:val="0"/>
          <w:sz w:val="32"/>
          <w:szCs w:val="32"/>
          <w:highlight w:val="none"/>
          <w:lang w:val="en-US" w:eastAsia="zh-CN" w:bidi="ar-SA"/>
        </w:rPr>
        <w:t>进一步做好单位</w:t>
      </w:r>
      <w:r>
        <w:rPr>
          <w:rFonts w:hint="default" w:ascii="方正仿宋_GBK" w:hAnsi="方正仿宋_GBK" w:eastAsia="方正仿宋_GBK" w:cs="方正仿宋_GBK"/>
          <w:b w:val="0"/>
          <w:bCs w:val="0"/>
          <w:color w:val="auto"/>
          <w:spacing w:val="0"/>
          <w:kern w:val="0"/>
          <w:sz w:val="32"/>
          <w:szCs w:val="32"/>
          <w:highlight w:val="none"/>
          <w:lang w:val="en-US" w:eastAsia="zh-CN" w:bidi="ar-SA"/>
        </w:rPr>
        <w:t>遗属</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的服务管理工作，提高政治站位，深刻领会社会救助兜底保障基础性、兜底性作用，让困难群众及时享受到政策实惠，从而帮助受助对象生活状况提到改善。</w:t>
      </w:r>
    </w:p>
    <w:p>
      <w:pPr>
        <w:widowControl/>
        <w:ind w:firstLine="600" w:firstLineChars="200"/>
        <w:jc w:val="left"/>
        <w:rPr>
          <w:rFonts w:hint="eastAsia"/>
          <w:kern w:val="2"/>
          <w:sz w:val="30"/>
          <w:szCs w:val="30"/>
          <w:lang w:val="en-US" w:eastAsia="zh-CN" w:bidi="ar-SA"/>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pStyle w:val="2"/>
        <w:rPr>
          <w:rFonts w:hint="default"/>
          <w:lang w:val="en-US" w:eastAsia="zh-CN"/>
        </w:rPr>
      </w:pPr>
    </w:p>
    <w:sectPr>
      <w:headerReference r:id="rId3" w:type="default"/>
      <w:footerReference r:id="rId5" w:type="default"/>
      <w:headerReference r:id="rId4" w:type="even"/>
      <w:pgSz w:w="11906" w:h="16838"/>
      <w:pgMar w:top="2041" w:right="1474" w:bottom="130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76B44"/>
    <w:multiLevelType w:val="singleLevel"/>
    <w:tmpl w:val="AD376B44"/>
    <w:lvl w:ilvl="0" w:tentative="0">
      <w:start w:val="5"/>
      <w:numFmt w:val="chineseCounting"/>
      <w:suff w:val="nothing"/>
      <w:lvlText w:val="%1、"/>
      <w:lvlJc w:val="left"/>
      <w:rPr>
        <w:rFonts w:hint="eastAsia"/>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207C3"/>
    <w:rsid w:val="00140EB9"/>
    <w:rsid w:val="01DB3E8D"/>
    <w:rsid w:val="04AA74A9"/>
    <w:rsid w:val="056B562F"/>
    <w:rsid w:val="078D72AB"/>
    <w:rsid w:val="08410B19"/>
    <w:rsid w:val="08A43592"/>
    <w:rsid w:val="0A09730F"/>
    <w:rsid w:val="0ADC41D6"/>
    <w:rsid w:val="0B5C4896"/>
    <w:rsid w:val="0C3E5D0C"/>
    <w:rsid w:val="0D7F466C"/>
    <w:rsid w:val="0DCF1E56"/>
    <w:rsid w:val="0DF8666C"/>
    <w:rsid w:val="103E25CF"/>
    <w:rsid w:val="112B2638"/>
    <w:rsid w:val="11591D75"/>
    <w:rsid w:val="117B5795"/>
    <w:rsid w:val="12893A48"/>
    <w:rsid w:val="12BA3F4F"/>
    <w:rsid w:val="12D7309A"/>
    <w:rsid w:val="13B90861"/>
    <w:rsid w:val="150207C3"/>
    <w:rsid w:val="17A060D4"/>
    <w:rsid w:val="18E92B6F"/>
    <w:rsid w:val="1A3D71EF"/>
    <w:rsid w:val="1B4F294E"/>
    <w:rsid w:val="1C5D6855"/>
    <w:rsid w:val="1CF6278F"/>
    <w:rsid w:val="1EDC32FB"/>
    <w:rsid w:val="1F1771AD"/>
    <w:rsid w:val="1F3C7A2F"/>
    <w:rsid w:val="1F894E53"/>
    <w:rsid w:val="1FA06DF0"/>
    <w:rsid w:val="20214546"/>
    <w:rsid w:val="21B867C9"/>
    <w:rsid w:val="23790EDB"/>
    <w:rsid w:val="23BB16E2"/>
    <w:rsid w:val="245F4C2E"/>
    <w:rsid w:val="249E424D"/>
    <w:rsid w:val="24CB3AAC"/>
    <w:rsid w:val="24DD645C"/>
    <w:rsid w:val="25EF3869"/>
    <w:rsid w:val="27262946"/>
    <w:rsid w:val="280E546F"/>
    <w:rsid w:val="298354E6"/>
    <w:rsid w:val="2A0A2222"/>
    <w:rsid w:val="2A1D72EE"/>
    <w:rsid w:val="2A3F22B7"/>
    <w:rsid w:val="2AC02C6A"/>
    <w:rsid w:val="2C1A4001"/>
    <w:rsid w:val="2ECA44F1"/>
    <w:rsid w:val="2FEC5592"/>
    <w:rsid w:val="30F779D6"/>
    <w:rsid w:val="31DC12D4"/>
    <w:rsid w:val="321F3B72"/>
    <w:rsid w:val="365C384D"/>
    <w:rsid w:val="376771C2"/>
    <w:rsid w:val="3923594E"/>
    <w:rsid w:val="39DF220B"/>
    <w:rsid w:val="3A0A0BDF"/>
    <w:rsid w:val="3A5865D8"/>
    <w:rsid w:val="3AA12414"/>
    <w:rsid w:val="3B0B476B"/>
    <w:rsid w:val="3B9F56C1"/>
    <w:rsid w:val="3BA131EA"/>
    <w:rsid w:val="3C570FE8"/>
    <w:rsid w:val="3CEB5274"/>
    <w:rsid w:val="3EDF0EB2"/>
    <w:rsid w:val="3F0917D7"/>
    <w:rsid w:val="3F0E5B62"/>
    <w:rsid w:val="3F6B40D7"/>
    <w:rsid w:val="3F6F0D5B"/>
    <w:rsid w:val="3F9D0568"/>
    <w:rsid w:val="407540B1"/>
    <w:rsid w:val="416600B2"/>
    <w:rsid w:val="434A50C6"/>
    <w:rsid w:val="434E39E7"/>
    <w:rsid w:val="45501AF7"/>
    <w:rsid w:val="473018EC"/>
    <w:rsid w:val="473A0743"/>
    <w:rsid w:val="47E45ADA"/>
    <w:rsid w:val="484B1A9E"/>
    <w:rsid w:val="4866478B"/>
    <w:rsid w:val="48C016E4"/>
    <w:rsid w:val="48EE6B74"/>
    <w:rsid w:val="49164FBF"/>
    <w:rsid w:val="496672BB"/>
    <w:rsid w:val="49F9491D"/>
    <w:rsid w:val="4B230E4C"/>
    <w:rsid w:val="4BD81AC2"/>
    <w:rsid w:val="4D8E1A86"/>
    <w:rsid w:val="4E4C6C6F"/>
    <w:rsid w:val="4F470D90"/>
    <w:rsid w:val="5205125C"/>
    <w:rsid w:val="529022E8"/>
    <w:rsid w:val="52D40F33"/>
    <w:rsid w:val="53567070"/>
    <w:rsid w:val="56036A41"/>
    <w:rsid w:val="569070A9"/>
    <w:rsid w:val="57D668BD"/>
    <w:rsid w:val="57DB4BA1"/>
    <w:rsid w:val="5820745B"/>
    <w:rsid w:val="584A4BA4"/>
    <w:rsid w:val="58BF3E57"/>
    <w:rsid w:val="5CB46B66"/>
    <w:rsid w:val="5D9315AD"/>
    <w:rsid w:val="5E613871"/>
    <w:rsid w:val="5F8A55FE"/>
    <w:rsid w:val="60703516"/>
    <w:rsid w:val="613E438E"/>
    <w:rsid w:val="632B3962"/>
    <w:rsid w:val="63B11DCB"/>
    <w:rsid w:val="640F2E3F"/>
    <w:rsid w:val="64732BFD"/>
    <w:rsid w:val="649E15BC"/>
    <w:rsid w:val="665228B6"/>
    <w:rsid w:val="66AA7A6C"/>
    <w:rsid w:val="67234159"/>
    <w:rsid w:val="6753254A"/>
    <w:rsid w:val="67657D83"/>
    <w:rsid w:val="67F46B59"/>
    <w:rsid w:val="68ED60D7"/>
    <w:rsid w:val="6A675E99"/>
    <w:rsid w:val="6BFE7F00"/>
    <w:rsid w:val="6D3A72C6"/>
    <w:rsid w:val="6D8E36F4"/>
    <w:rsid w:val="6EAE2D7C"/>
    <w:rsid w:val="6FDE5D0D"/>
    <w:rsid w:val="71C64167"/>
    <w:rsid w:val="73466608"/>
    <w:rsid w:val="74330898"/>
    <w:rsid w:val="768D0349"/>
    <w:rsid w:val="78317B16"/>
    <w:rsid w:val="783464FE"/>
    <w:rsid w:val="78A05974"/>
    <w:rsid w:val="78A16FE1"/>
    <w:rsid w:val="79265AD1"/>
    <w:rsid w:val="79810E3A"/>
    <w:rsid w:val="79DF16BF"/>
    <w:rsid w:val="7B66275B"/>
    <w:rsid w:val="7BEF56B2"/>
    <w:rsid w:val="7F3870CF"/>
    <w:rsid w:val="7F69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nhideWhenUsed/>
    <w:qFormat/>
    <w:uiPriority w:val="0"/>
  </w:style>
  <w:style w:type="paragraph" w:styleId="4">
    <w:name w:val="Body Text Indent"/>
    <w:basedOn w:val="1"/>
    <w:qFormat/>
    <w:uiPriority w:val="0"/>
    <w:pPr>
      <w:spacing w:line="580" w:lineRule="exact"/>
      <w:ind w:firstLine="510" w:firstLineChars="150"/>
    </w:pPr>
    <w:rPr>
      <w:rFonts w:ascii="仿宋_GB2312"/>
      <w:spacing w:val="10"/>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2021-02-04T06:34:00Z</dcterms:created>
  <dc:creator>admin</dc:creator>
  <cp:lastModifiedBy>段金糯</cp:lastModifiedBy>
  <dcterms:modified xsi:type="dcterms:W3CDTF">2024-02-20T08:58:05Z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13FCE90467EE4BE189F9D57FD02A5CFF</vt:lpwstr>
  </property>
</Properties>
</file>