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bidi w:val="0"/>
        <w:rPr>
          <w:rStyle w:val="9"/>
          <w:rFonts w:hint="eastAsia" w:ascii="Arial" w:hAnsi="Arial" w:eastAsia="微软雅黑" w:cs="Arial"/>
          <w:i w:val="0"/>
          <w:caps w:val="0"/>
          <w:color w:val="000000"/>
          <w:spacing w:val="0"/>
          <w:sz w:val="36"/>
          <w:szCs w:val="36"/>
          <w:shd w:val="clear" w:color="auto" w:fill="FFFFFF"/>
        </w:rPr>
      </w:pPr>
      <w:r>
        <w:rPr>
          <w:rStyle w:val="9"/>
          <w:rFonts w:hint="eastAsia" w:ascii="Arial" w:hAnsi="Arial" w:eastAsia="微软雅黑" w:cs="Arial"/>
          <w:i w:val="0"/>
          <w:caps w:val="0"/>
          <w:color w:val="000000"/>
          <w:spacing w:val="0"/>
          <w:sz w:val="36"/>
          <w:szCs w:val="36"/>
          <w:shd w:val="clear" w:color="auto" w:fill="FFFFFF"/>
        </w:rPr>
        <w:t>监督索引号5304230054810100</w:t>
      </w:r>
    </w:p>
    <w:p>
      <w:pPr>
        <w:pStyle w:val="6"/>
        <w:keepNext w:val="0"/>
        <w:keepLines w:val="0"/>
        <w:widowControl/>
        <w:suppressLineNumbers w:val="0"/>
        <w:shd w:val="clear" w:color="auto" w:fill="FFFFFF"/>
        <w:spacing w:before="75" w:beforeAutospacing="0" w:after="0" w:afterAutospacing="0" w:line="600" w:lineRule="atLeast"/>
        <w:ind w:left="0" w:right="0" w:firstLine="0"/>
        <w:rPr>
          <w:rStyle w:val="9"/>
          <w:rFonts w:hint="eastAsia" w:ascii="Arial" w:hAnsi="Arial" w:eastAsia="微软雅黑" w:cs="Arial"/>
          <w:i w:val="0"/>
          <w:caps w:val="0"/>
          <w:color w:val="000000"/>
          <w:spacing w:val="0"/>
          <w:sz w:val="36"/>
          <w:szCs w:val="36"/>
          <w:shd w:val="clear" w:color="auto" w:fill="FFFFFF"/>
        </w:rPr>
      </w:pPr>
    </w:p>
    <w:p>
      <w:pPr>
        <w:pStyle w:val="10"/>
        <w:bidi w:val="0"/>
        <w:rPr>
          <w:rFonts w:hint="eastAsia"/>
        </w:rPr>
      </w:pPr>
      <w:r>
        <w:rPr>
          <w:rFonts w:hint="eastAsia"/>
        </w:rPr>
        <w:t>通海县工业商贸和科技信息局2022年度部门决算</w:t>
      </w:r>
    </w:p>
    <w:p>
      <w:pPr>
        <w:pStyle w:val="6"/>
        <w:keepNext w:val="0"/>
        <w:keepLines w:val="0"/>
        <w:widowControl/>
        <w:suppressLineNumbers w:val="0"/>
        <w:shd w:val="clear" w:color="auto" w:fill="FFFFFF"/>
        <w:spacing w:before="75"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p>
    <w:p>
      <w:pPr>
        <w:pStyle w:val="10"/>
        <w:bidi w:val="0"/>
        <w:rPr>
          <w:rFonts w:hint="eastAsia"/>
        </w:rPr>
      </w:pPr>
      <w:r>
        <w:rPr>
          <w:rFonts w:hint="default"/>
        </w:rPr>
        <w:t>目录</w:t>
      </w:r>
    </w:p>
    <w:p>
      <w:pPr>
        <w:pStyle w:val="6"/>
        <w:keepNext w:val="0"/>
        <w:keepLines w:val="0"/>
        <w:widowControl/>
        <w:suppressLineNumbers w:val="0"/>
        <w:shd w:val="clear" w:color="auto" w:fill="FFFFFF"/>
        <w:spacing w:before="75"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p>
    <w:p>
      <w:pPr>
        <w:pStyle w:val="6"/>
        <w:keepNext w:val="0"/>
        <w:keepLines w:val="0"/>
        <w:widowControl/>
        <w:numPr>
          <w:ilvl w:val="0"/>
          <w:numId w:val="1"/>
        </w:numPr>
        <w:suppressLineNumbers w:val="0"/>
        <w:shd w:val="clear" w:color="auto" w:fill="FFFFFF"/>
        <w:spacing w:before="75" w:beforeAutospacing="0" w:after="0" w:afterAutospacing="0" w:line="585" w:lineRule="atLeast"/>
        <w:ind w:left="0" w:right="0" w:firstLine="0"/>
        <w:jc w:val="both"/>
        <w:rPr>
          <w:rFonts w:hint="eastAsia" w:ascii="黑体" w:hAnsi="宋体" w:eastAsia="黑体" w:cs="黑体"/>
          <w:i w:val="0"/>
          <w:caps w:val="0"/>
          <w:color w:val="000000"/>
          <w:spacing w:val="0"/>
          <w:sz w:val="30"/>
          <w:szCs w:val="30"/>
          <w:shd w:val="clear" w:color="auto" w:fill="FFFFFF"/>
        </w:rPr>
      </w:pPr>
      <w:r>
        <w:rPr>
          <w:rFonts w:hint="eastAsia" w:ascii="黑体" w:hAnsi="宋体" w:eastAsia="黑体" w:cs="黑体"/>
          <w:i w:val="0"/>
          <w:caps w:val="0"/>
          <w:color w:val="000000"/>
          <w:spacing w:val="0"/>
          <w:sz w:val="30"/>
          <w:szCs w:val="30"/>
          <w:shd w:val="clear" w:color="auto" w:fill="FFFFFF"/>
        </w:rPr>
        <w:t>通海县工业商贸和科技信息局概况</w:t>
      </w:r>
    </w:p>
    <w:p>
      <w:pPr>
        <w:pStyle w:val="6"/>
        <w:keepNext w:val="0"/>
        <w:keepLines w:val="0"/>
        <w:widowControl/>
        <w:numPr>
          <w:ilvl w:val="0"/>
          <w:numId w:val="0"/>
        </w:numPr>
        <w:suppressLineNumbers w:val="0"/>
        <w:shd w:val="clear" w:color="auto" w:fill="FFFFFF"/>
        <w:spacing w:before="75" w:beforeAutospacing="0" w:after="0" w:afterAutospacing="0" w:line="585" w:lineRule="atLeast"/>
        <w:ind w:leftChars="0" w:right="0" w:rightChars="0"/>
        <w:jc w:val="both"/>
        <w:rPr>
          <w:rFonts w:hint="eastAsia" w:ascii="微软雅黑" w:hAnsi="微软雅黑" w:eastAsia="微软雅黑" w:cs="微软雅黑"/>
          <w:i w:val="0"/>
          <w:caps w:val="0"/>
          <w:color w:val="000000"/>
          <w:spacing w:val="0"/>
          <w:sz w:val="24"/>
          <w:szCs w:val="24"/>
        </w:rPr>
      </w:pPr>
      <w:r>
        <w:rPr>
          <w:rFonts w:ascii="楷体" w:hAnsi="楷体" w:eastAsia="楷体" w:cs="楷体"/>
          <w:i w:val="0"/>
          <w:caps w:val="0"/>
          <w:color w:val="000000"/>
          <w:spacing w:val="0"/>
          <w:sz w:val="30"/>
          <w:szCs w:val="30"/>
          <w:shd w:val="clear" w:color="auto" w:fill="FFFFFF"/>
        </w:rPr>
        <w:t>一、主要职能</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auto" w:fill="FFFFFF"/>
        </w:rPr>
        <w:t>二、部门基本情况</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黑体" w:hAnsi="宋体" w:eastAsia="黑体" w:cs="黑体"/>
          <w:i w:val="0"/>
          <w:caps w:val="0"/>
          <w:color w:val="000000"/>
          <w:spacing w:val="0"/>
          <w:sz w:val="30"/>
          <w:szCs w:val="30"/>
          <w:shd w:val="clear" w:color="auto" w:fill="FFFFFF"/>
        </w:rPr>
      </w:pPr>
      <w:r>
        <w:rPr>
          <w:rFonts w:hint="eastAsia" w:ascii="黑体" w:hAnsi="宋体" w:eastAsia="黑体" w:cs="黑体"/>
          <w:i w:val="0"/>
          <w:caps w:val="0"/>
          <w:color w:val="000000"/>
          <w:spacing w:val="0"/>
          <w:sz w:val="30"/>
          <w:szCs w:val="30"/>
          <w:shd w:val="clear" w:color="auto" w:fill="FFFFFF"/>
        </w:rPr>
        <w:t>第二部分2022年度部门决算表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一、收入支出决算表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二、收入决算表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三、支出决算表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四、财政拨款收入支出决算表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五、一般公共预算财政拨款收入支出决算表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六、一般公共预算财政拨款基本支出决算表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七、一般公共预算财政拨款项目支出决算表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八、政府性基金预算财政拨款收入支出决算表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九、国有资本经营预算财政拨款收入支出决算表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十、“三公”经费、行政参公单位机关运行经费情况表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auto" w:fill="FFFFFF"/>
        </w:rPr>
        <w:t>第三部分 2022年度部门决算情况说明</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auto" w:fill="FFFFFF"/>
        </w:rPr>
        <w:t>一、收入决算情况说明</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auto" w:fill="FFFFFF"/>
        </w:rPr>
        <w:t>二、支出决算情况说明</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auto" w:fill="FFFFFF"/>
        </w:rPr>
        <w:t>三、一般公共预算财政拨款支出决算情况说明</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auto" w:fill="FFFFFF"/>
        </w:rPr>
        <w:t>四、财政拨款“三公”经费支出决算情况说明</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auto" w:fill="FFFFFF"/>
        </w:rPr>
        <w:t>第四部分 其他重要事项及相关口径情况说明</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一、机关运行经费支出情况</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二、国有资产占用情况</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三、政府采购支出情况</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四、部门绩效自评情况</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（一）部门整体支出绩效自评情况</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（二）部门整体支出绩效自评表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（三）项目支出绩效自评表</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五、其他重要事项情况说明</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楷体" w:hAnsi="楷体" w:eastAsia="楷体" w:cs="楷体"/>
          <w:i w:val="0"/>
          <w:caps w:val="0"/>
          <w:color w:val="000000"/>
          <w:spacing w:val="0"/>
          <w:sz w:val="30"/>
          <w:szCs w:val="30"/>
          <w:shd w:val="clear" w:color="auto" w:fill="FFFFFF"/>
        </w:rPr>
      </w:pPr>
      <w:r>
        <w:rPr>
          <w:rFonts w:hint="eastAsia" w:ascii="楷体" w:hAnsi="楷体" w:eastAsia="楷体" w:cs="楷体"/>
          <w:i w:val="0"/>
          <w:caps w:val="0"/>
          <w:color w:val="000000"/>
          <w:spacing w:val="0"/>
          <w:sz w:val="30"/>
          <w:szCs w:val="30"/>
          <w:shd w:val="clear" w:color="auto" w:fill="FFFFFF"/>
        </w:rPr>
        <w:t>六、相关口径说明</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auto" w:fill="FFFFFF"/>
        </w:rPr>
        <w:t>第五部分 名词解释</w:t>
      </w:r>
    </w:p>
    <w:p>
      <w:pPr>
        <w:pStyle w:val="6"/>
        <w:keepNext w:val="0"/>
        <w:keepLines w:val="0"/>
        <w:widowControl/>
        <w:suppressLineNumbers w:val="0"/>
        <w:shd w:val="clear" w:color="auto" w:fill="FFFFFF"/>
        <w:spacing w:before="75" w:beforeAutospacing="0" w:after="0" w:afterAutospacing="0" w:line="58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w:t>
      </w:r>
    </w:p>
    <w:p>
      <w:pPr>
        <w:pStyle w:val="10"/>
        <w:bidi w:val="0"/>
        <w:rPr>
          <w:rFonts w:hint="default"/>
        </w:rPr>
      </w:pPr>
      <w:r>
        <w:rPr>
          <w:rFonts w:hint="default"/>
        </w:rPr>
        <w:t>第一部</w:t>
      </w:r>
      <w:r>
        <w:rPr>
          <w:rFonts w:hint="eastAsia"/>
          <w:lang w:val="en-US" w:eastAsia="zh-CN"/>
        </w:rPr>
        <w:t xml:space="preserve"> </w:t>
      </w:r>
      <w:r>
        <w:rPr>
          <w:rFonts w:hint="default"/>
        </w:rPr>
        <w:t>分通海县工业商贸和科技信息局概况</w:t>
      </w:r>
    </w:p>
    <w:p>
      <w:pPr>
        <w:pStyle w:val="12"/>
        <w:bidi w:val="0"/>
        <w:rPr>
          <w:rFonts w:hint="default"/>
        </w:rPr>
      </w:pPr>
      <w:r>
        <w:rPr>
          <w:rFonts w:hint="default"/>
        </w:rPr>
        <w:t>一、主要职能</w:t>
      </w:r>
    </w:p>
    <w:p>
      <w:pPr>
        <w:pStyle w:val="14"/>
        <w:bidi w:val="0"/>
        <w:ind w:left="0" w:leftChars="0" w:firstLine="300" w:firstLineChars="100"/>
        <w:rPr>
          <w:rFonts w:hint="default"/>
        </w:rPr>
      </w:pPr>
      <w:r>
        <w:rPr>
          <w:rFonts w:hint="default"/>
        </w:rPr>
        <w:t>（一）主要职能</w:t>
      </w:r>
    </w:p>
    <w:p>
      <w:pPr>
        <w:pStyle w:val="11"/>
        <w:bidi w:val="0"/>
        <w:rPr>
          <w:rFonts w:hint="default"/>
        </w:rPr>
      </w:pPr>
      <w:r>
        <w:rPr>
          <w:rFonts w:hint="default"/>
        </w:rPr>
        <w:t>1</w:t>
      </w:r>
      <w:r>
        <w:rPr>
          <w:rFonts w:hint="eastAsia"/>
          <w:lang w:val="en-US" w:eastAsia="zh-CN"/>
        </w:rPr>
        <w:t>.</w:t>
      </w:r>
      <w:r>
        <w:rPr>
          <w:rFonts w:hint="default"/>
        </w:rPr>
        <w:t>贯彻落实国家、省、市工业和信息化、对外贸易、国内合作、外商投资、对外经济合作、科技进步和有关知识产权的法律法规及方针政策；根据国民经济和社会发展总体规划，拟订全县内外贸易发展、利用国内外资金、科技、知识产权中长期规划和年度计划并组织实施；研究提出新型工业化发展战略、规划和政策措施，制定全县工业和信息化的规范性文件和政策，协调解决新型工业化进程中的重大问题；协调工业项目建设及工业固定资产投资管理；指导国有企业管理和改革工作。</w:t>
      </w:r>
    </w:p>
    <w:p>
      <w:pPr>
        <w:pStyle w:val="11"/>
        <w:bidi w:val="0"/>
        <w:rPr>
          <w:rFonts w:hint="default"/>
        </w:rPr>
      </w:pPr>
      <w:r>
        <w:rPr>
          <w:rFonts w:hint="default"/>
        </w:rPr>
        <w:t>2</w:t>
      </w:r>
      <w:r>
        <w:rPr>
          <w:rFonts w:hint="eastAsia"/>
          <w:lang w:val="en-US" w:eastAsia="zh-CN"/>
        </w:rPr>
        <w:t>.</w:t>
      </w:r>
      <w:r>
        <w:rPr>
          <w:rFonts w:hint="default"/>
        </w:rPr>
        <w:t>拟订企业技术创新规划和政策措施并组织实施，推进工业和信息化行业技术创新体系建设；负责工业和信息化的对外合作与交流，引进重大技术装备的消化创新，利用先进适用技术改造提升传统产业，加快新技术、新工艺的应用，促进科技成果产业化。</w:t>
      </w:r>
    </w:p>
    <w:p>
      <w:pPr>
        <w:pStyle w:val="11"/>
        <w:bidi w:val="0"/>
        <w:rPr>
          <w:rFonts w:hint="default"/>
        </w:rPr>
      </w:pPr>
      <w:r>
        <w:rPr>
          <w:rFonts w:hint="default"/>
        </w:rPr>
        <w:t>3</w:t>
      </w:r>
      <w:r>
        <w:rPr>
          <w:rFonts w:hint="eastAsia"/>
          <w:lang w:val="en-US" w:eastAsia="zh-CN"/>
        </w:rPr>
        <w:t>.</w:t>
      </w:r>
      <w:r>
        <w:rPr>
          <w:rFonts w:hint="default"/>
        </w:rPr>
        <w:t>负责工业和信息化行业管理、盐业行政管理、电力供需协调和电力需求侧的管理工作；参与协调交通综合运输，指导和推进工业物流企业发展。</w:t>
      </w:r>
    </w:p>
    <w:p>
      <w:pPr>
        <w:pStyle w:val="11"/>
        <w:bidi w:val="0"/>
        <w:rPr>
          <w:rFonts w:hint="default"/>
        </w:rPr>
      </w:pPr>
      <w:r>
        <w:rPr>
          <w:rFonts w:hint="default"/>
        </w:rPr>
        <w:t>4</w:t>
      </w:r>
      <w:r>
        <w:rPr>
          <w:rFonts w:hint="eastAsia"/>
          <w:lang w:val="en-US" w:eastAsia="zh-CN"/>
        </w:rPr>
        <w:t>.</w:t>
      </w:r>
      <w:r>
        <w:rPr>
          <w:rFonts w:hint="default"/>
        </w:rPr>
        <w:t>依据产业发展规划，加快推进装备制造业、光电子、生物开发、燃料乙醇、软件业、信息服务业等新兴产业的发展；调整优化五金机电、彩印包装、食品加工等传统产业加快发展；推动新材料、生产性服务等一批新兴产业的发展；指导和推进企业信息技术创新机制的建立；负责振兴装备制造业的组织协调工作；指导工业和信息化产品质量管理；加强对工业原材料开采规划与利用保护。</w:t>
      </w:r>
    </w:p>
    <w:p>
      <w:pPr>
        <w:pStyle w:val="11"/>
        <w:bidi w:val="0"/>
        <w:rPr>
          <w:rFonts w:hint="default"/>
        </w:rPr>
      </w:pPr>
      <w:r>
        <w:rPr>
          <w:rFonts w:hint="default"/>
        </w:rPr>
        <w:t>5</w:t>
      </w:r>
      <w:r>
        <w:rPr>
          <w:rFonts w:hint="eastAsia"/>
          <w:lang w:val="en-US" w:eastAsia="zh-CN"/>
        </w:rPr>
        <w:t>.</w:t>
      </w:r>
      <w:r>
        <w:rPr>
          <w:rFonts w:hint="default"/>
        </w:rPr>
        <w:t>指导中小企业和非公有制经济发展，会同有关部门拟订促进中小企业发展和非公有制经济发展的有关政策和措施，推动建立完善服务体系，协调解决中小企业及非公有制经济发展中有关重大问题，承担县非公有制经济领导小组的具体工作。</w:t>
      </w:r>
    </w:p>
    <w:p>
      <w:pPr>
        <w:pStyle w:val="11"/>
        <w:bidi w:val="0"/>
        <w:rPr>
          <w:rFonts w:hint="default"/>
        </w:rPr>
      </w:pPr>
      <w:r>
        <w:rPr>
          <w:rFonts w:hint="default"/>
        </w:rPr>
        <w:t>6</w:t>
      </w:r>
      <w:r>
        <w:rPr>
          <w:rFonts w:hint="eastAsia"/>
          <w:lang w:val="en-US" w:eastAsia="zh-CN"/>
        </w:rPr>
        <w:t>.</w:t>
      </w:r>
      <w:r>
        <w:rPr>
          <w:rFonts w:hint="default"/>
        </w:rPr>
        <w:t>负责全县信息产业行业管理，统筹推进信息化工作，推动跨行业、跨部门的信息互联互通和重要信息资源的开发利用；负责指导、组织和协调信息技术的推广应用，全县信息网络安全建设和管理工作；负责县级机关信息网络系统建设，推行电子政务工作；承担有关信息安全监管；负责协调有关信息安全和信息安全保障体系建设，指导监督政府部门、重点行业的重要信息系统与信息网络的安全保障工作，协调处理网络与信息安全的重大事件。</w:t>
      </w:r>
    </w:p>
    <w:p>
      <w:pPr>
        <w:pStyle w:val="11"/>
        <w:bidi w:val="0"/>
        <w:rPr>
          <w:rFonts w:hint="default"/>
        </w:rPr>
      </w:pPr>
      <w:r>
        <w:rPr>
          <w:rFonts w:hint="default"/>
        </w:rPr>
        <w:t>7</w:t>
      </w:r>
      <w:r>
        <w:rPr>
          <w:rFonts w:hint="eastAsia"/>
          <w:lang w:val="en-US" w:eastAsia="zh-CN"/>
        </w:rPr>
        <w:t>.</w:t>
      </w:r>
      <w:r>
        <w:rPr>
          <w:rFonts w:hint="default"/>
        </w:rPr>
        <w:t>统一配置和管理无线电频谱资源，依法监督管理无线电台（站），协调处理军地间无线电管理有关事宜，负责无线电电磁环境保护，无线电监测、检测、干扰查处，协调处理电磁干扰事宜，维护空中电波秩序，依法组织实施无线电管制。</w:t>
      </w:r>
    </w:p>
    <w:p>
      <w:pPr>
        <w:pStyle w:val="11"/>
        <w:bidi w:val="0"/>
        <w:rPr>
          <w:rFonts w:hint="default"/>
        </w:rPr>
      </w:pPr>
      <w:r>
        <w:rPr>
          <w:rFonts w:hint="default"/>
        </w:rPr>
        <w:t>8</w:t>
      </w:r>
      <w:r>
        <w:rPr>
          <w:rFonts w:hint="eastAsia"/>
          <w:lang w:val="en-US" w:eastAsia="zh-CN"/>
        </w:rPr>
        <w:t>.</w:t>
      </w:r>
      <w:r>
        <w:rPr>
          <w:rFonts w:hint="default"/>
        </w:rPr>
        <w:t>管理全县科技成果、科技奖励、科技保密及技术合同认定登记工作，会同有关部门研究科技人才资源合理配置；参与制定科技人才队伍建设的规划、政策措施；学科带头人的选拔、培养和管理；负责归口管理全县高层次科技人才的培养和引进工作。</w:t>
      </w:r>
    </w:p>
    <w:p>
      <w:pPr>
        <w:pStyle w:val="11"/>
        <w:bidi w:val="0"/>
        <w:rPr>
          <w:rFonts w:hint="default"/>
        </w:rPr>
      </w:pPr>
      <w:r>
        <w:rPr>
          <w:rFonts w:hint="default"/>
        </w:rPr>
        <w:t>9</w:t>
      </w:r>
      <w:r>
        <w:rPr>
          <w:rFonts w:hint="eastAsia"/>
          <w:lang w:val="en-US" w:eastAsia="zh-CN"/>
        </w:rPr>
        <w:t>.</w:t>
      </w:r>
      <w:r>
        <w:rPr>
          <w:rFonts w:hint="default"/>
        </w:rPr>
        <w:t>研究全县各类市场的总体规划、发展，拟订规范市场运行、流通秩序和打破市场垄断，建立健全统一、开放、竞争、有序的市场体系；监测分析全县市场运行和商品供求状况，组织实施重要消费品市场调控和重要生产资料流通管理。培育发展城乡市场，推进流通产业结构调整和连锁经营、物流配送、电子商务等现代流通方式。</w:t>
      </w:r>
    </w:p>
    <w:p>
      <w:pPr>
        <w:pStyle w:val="11"/>
        <w:bidi w:val="0"/>
        <w:rPr>
          <w:rFonts w:hint="default"/>
        </w:rPr>
      </w:pPr>
      <w:r>
        <w:rPr>
          <w:rFonts w:hint="default"/>
        </w:rPr>
        <w:t>10</w:t>
      </w:r>
      <w:r>
        <w:rPr>
          <w:rFonts w:hint="eastAsia"/>
          <w:lang w:val="en-US" w:eastAsia="zh-CN"/>
        </w:rPr>
        <w:t>.</w:t>
      </w:r>
      <w:r>
        <w:rPr>
          <w:rFonts w:hint="default"/>
        </w:rPr>
        <w:t>承办全县各类贸易投资活动，协调有关部门、重点行业、企业开展招商引资、经济社会合作及区域合作；协调重大引资项目的考察、论证、推介、洽谈、推进、跟踪、服务、审批等工作。</w:t>
      </w:r>
    </w:p>
    <w:p>
      <w:pPr>
        <w:pStyle w:val="11"/>
        <w:bidi w:val="0"/>
        <w:rPr>
          <w:rFonts w:hint="default"/>
        </w:rPr>
      </w:pPr>
      <w:r>
        <w:rPr>
          <w:rFonts w:hint="default"/>
        </w:rPr>
        <w:t>11</w:t>
      </w:r>
      <w:r>
        <w:rPr>
          <w:rFonts w:hint="eastAsia"/>
          <w:lang w:val="en-US" w:eastAsia="zh-CN"/>
        </w:rPr>
        <w:t>.</w:t>
      </w:r>
      <w:r>
        <w:rPr>
          <w:rFonts w:hint="default"/>
        </w:rPr>
        <w:t>承担县委、县政府交办的其他事项。</w:t>
      </w:r>
    </w:p>
    <w:p>
      <w:pPr>
        <w:pStyle w:val="11"/>
        <w:bidi w:val="0"/>
        <w:ind w:left="0" w:leftChars="0" w:firstLine="0" w:firstLineChars="0"/>
        <w:rPr>
          <w:rFonts w:hint="default"/>
        </w:rPr>
      </w:pPr>
      <w:r>
        <w:rPr>
          <w:rFonts w:hint="default"/>
        </w:rPr>
        <w:t>（二）2022年度重点工作任务概述</w:t>
      </w:r>
    </w:p>
    <w:p>
      <w:pPr>
        <w:pStyle w:val="11"/>
        <w:bidi w:val="0"/>
        <w:rPr>
          <w:rFonts w:hint="default"/>
        </w:rPr>
      </w:pPr>
      <w:r>
        <w:rPr>
          <w:rFonts w:hint="default"/>
        </w:rPr>
        <w:t>1</w:t>
      </w:r>
      <w:r>
        <w:rPr>
          <w:rFonts w:hint="eastAsia"/>
          <w:lang w:val="en-US" w:eastAsia="zh-CN"/>
        </w:rPr>
        <w:t>.</w:t>
      </w:r>
      <w:r>
        <w:rPr>
          <w:rFonts w:hint="default"/>
        </w:rPr>
        <w:t>主要工业经济指标运行情况</w:t>
      </w:r>
    </w:p>
    <w:p>
      <w:pPr>
        <w:pStyle w:val="11"/>
        <w:bidi w:val="0"/>
        <w:ind w:left="0" w:leftChars="0" w:firstLine="300" w:firstLineChars="100"/>
        <w:rPr>
          <w:rFonts w:hint="default"/>
        </w:rPr>
      </w:pPr>
      <w:r>
        <w:rPr>
          <w:rFonts w:hint="default"/>
        </w:rPr>
        <w:t>（1）规模以上工业产值和增加值。2022年1-11月全县工业总产值245.40亿元，同比增长3.70%，其中：轻工业实现累计产值34.10亿元，占比为13.90%，同比下降21.70%；重工业实现累计产值211.3亿元，占比为86.10%，同比增长9.40%。全县规模以上工业企业达85户，12月实现产值22.13亿元，同比下降6.90%，增加值预计增长36.50%；1-12月累计实现产值207.12亿元，同比增3.90%，累计增加值预计增长18.20%。</w:t>
      </w:r>
    </w:p>
    <w:p>
      <w:pPr>
        <w:pStyle w:val="11"/>
        <w:bidi w:val="0"/>
        <w:ind w:left="0" w:leftChars="0" w:firstLine="300" w:firstLineChars="100"/>
        <w:rPr>
          <w:rFonts w:hint="default"/>
        </w:rPr>
      </w:pPr>
      <w:r>
        <w:rPr>
          <w:rFonts w:hint="default"/>
        </w:rPr>
        <w:t>（2）工业固定资产投资情况</w:t>
      </w:r>
    </w:p>
    <w:p>
      <w:pPr>
        <w:pStyle w:val="11"/>
        <w:bidi w:val="0"/>
        <w:rPr>
          <w:rFonts w:hint="default"/>
        </w:rPr>
      </w:pPr>
      <w:r>
        <w:rPr>
          <w:rFonts w:hint="default"/>
        </w:rPr>
        <w:t>1-12月，全县在库非电工业项目38项，完成非电工业固定资产投资82</w:t>
      </w:r>
      <w:r>
        <w:rPr>
          <w:rFonts w:hint="eastAsia"/>
          <w:lang w:eastAsia="zh-CN"/>
        </w:rPr>
        <w:t>，</w:t>
      </w:r>
      <w:r>
        <w:rPr>
          <w:rFonts w:hint="default"/>
        </w:rPr>
        <w:t>178.00万元，比上年同期下降3.11%；1-11月电力部分完成投资3，333.00万元；1-12月全县工业投资共完成85，511.00万元。</w:t>
      </w:r>
    </w:p>
    <w:p>
      <w:pPr>
        <w:pStyle w:val="11"/>
        <w:bidi w:val="0"/>
        <w:rPr>
          <w:rFonts w:hint="default"/>
        </w:rPr>
      </w:pPr>
      <w:r>
        <w:rPr>
          <w:rFonts w:hint="default"/>
        </w:rPr>
        <w:t>（3）工业企业市场主体倍增培育工作总体开展情况</w:t>
      </w:r>
    </w:p>
    <w:p>
      <w:pPr>
        <w:pStyle w:val="11"/>
        <w:bidi w:val="0"/>
        <w:rPr>
          <w:rFonts w:hint="default"/>
        </w:rPr>
      </w:pPr>
      <w:r>
        <w:rPr>
          <w:rFonts w:hint="default"/>
        </w:rPr>
        <w:t>截至2022年12月31日，通海县共有工业企业市场主体900户，较2021年底的889户增15户，增加1.69%，完成2022年的净增加314户目标的4.78%；中小企业3，834户，较2021年底的3，569户增加265户，增长7.43%，完成2022年的净增加1，036户目标的25.58%。“个转企”全县完成22户，完成任务的13.41%，工信局完成13户。</w:t>
      </w:r>
    </w:p>
    <w:p>
      <w:pPr>
        <w:pStyle w:val="11"/>
        <w:bidi w:val="0"/>
        <w:rPr>
          <w:rFonts w:hint="default"/>
        </w:rPr>
      </w:pPr>
      <w:r>
        <w:rPr>
          <w:rFonts w:hint="default"/>
        </w:rPr>
        <w:t>2</w:t>
      </w:r>
      <w:r>
        <w:rPr>
          <w:rFonts w:hint="eastAsia"/>
          <w:lang w:val="en-US" w:eastAsia="zh-CN"/>
        </w:rPr>
        <w:t>.</w:t>
      </w:r>
      <w:r>
        <w:rPr>
          <w:rFonts w:hint="default"/>
        </w:rPr>
        <w:t>商贸经济指标</w:t>
      </w:r>
    </w:p>
    <w:p>
      <w:pPr>
        <w:pStyle w:val="11"/>
        <w:bidi w:val="0"/>
        <w:ind w:left="0" w:leftChars="0" w:firstLine="600" w:firstLineChars="200"/>
        <w:rPr>
          <w:rFonts w:hint="default"/>
        </w:rPr>
      </w:pPr>
      <w:r>
        <w:rPr>
          <w:rFonts w:hint="default"/>
        </w:rPr>
        <w:t>（1）社会消费运行情况。全县限额以上批发企业66户，限额以上零售企业20户。2022年1-10月，全县实现社会消费品零售总额61.23亿元，同比减少5.60%。1-11月，限额以上批发业完成107.36亿元，同比增长13.60%；限额以上零售业完成14.37亿元，同比增长12.20%。</w:t>
      </w:r>
    </w:p>
    <w:p>
      <w:pPr>
        <w:pStyle w:val="11"/>
        <w:bidi w:val="0"/>
        <w:rPr>
          <w:rFonts w:hint="default"/>
        </w:rPr>
      </w:pPr>
      <w:r>
        <w:rPr>
          <w:rFonts w:hint="default"/>
        </w:rPr>
        <w:t>（2）外贸经济运行情况。2022-12月年通海县共有44户外贸企业实现进出口总额2.37亿美元，与上年同期相比下降51.53%。（据企业业务报表统计）</w:t>
      </w:r>
    </w:p>
    <w:p>
      <w:pPr>
        <w:pStyle w:val="11"/>
        <w:bidi w:val="0"/>
        <w:rPr>
          <w:rFonts w:hint="default"/>
        </w:rPr>
      </w:pPr>
      <w:r>
        <w:rPr>
          <w:rFonts w:hint="default"/>
        </w:rPr>
        <w:t>3</w:t>
      </w:r>
      <w:r>
        <w:rPr>
          <w:rFonts w:hint="eastAsia"/>
          <w:lang w:val="en-US" w:eastAsia="zh-CN"/>
        </w:rPr>
        <w:t>.</w:t>
      </w:r>
      <w:r>
        <w:rPr>
          <w:rFonts w:hint="default"/>
        </w:rPr>
        <w:t>科技发展情况</w:t>
      </w:r>
    </w:p>
    <w:p>
      <w:pPr>
        <w:pStyle w:val="11"/>
        <w:bidi w:val="0"/>
        <w:rPr>
          <w:rFonts w:hint="default"/>
        </w:rPr>
      </w:pPr>
      <w:r>
        <w:rPr>
          <w:rFonts w:hint="default"/>
        </w:rPr>
        <w:t>截至10月20日全县共有了云南省高新技术企业22户、国家级科技型中小企业16户，省级工程技术研究中心1个、省级七部门认定企业技术中心1个、市级工程技术研究中心6个、省级农产品深加工科技型企业16户、创新型试点企业5户、云南省科技型中小企业81户、省级科技特派员82人、云南省农村科技辅导员1人、农业科技示范园5个、优质种业基地4个、通海五金机电产业园区众创空间1个、省级农业科技园区1个，省级可持续发展实验区1个、云秀月季鲜切花星创天地1个、高原萝卜产业星创天地1个、玉溪通海锦海月季鲜切花星创天地1个、云南省高新技术产业开发区（里山五金产业园区）、组织完成“通海县蔬菜产业科技特派团”申报立项，新增省级科技特派员24人。2022年8月30日，通海“全国创新型县”建设通过国家科技部验收。目前，国家、省、市各级各类科技项目47项，其中：国家级15项、省级30项、市级2；已申报33项，其中：国家级10、省级项目23项。培育5户企业申报认定“云南省高新技术企业”，7月申报国家级科技型中小企业20户。组织规模以上工业企业3户企业申报“规模以上企业设立研发机构”省级项目。组织申报云南省“科技特派员”17人。</w:t>
      </w:r>
    </w:p>
    <w:p>
      <w:pPr>
        <w:pStyle w:val="11"/>
        <w:bidi w:val="0"/>
        <w:rPr>
          <w:rFonts w:hint="default"/>
        </w:rPr>
      </w:pPr>
      <w:r>
        <w:rPr>
          <w:rFonts w:hint="default"/>
        </w:rPr>
        <w:t>4</w:t>
      </w:r>
      <w:r>
        <w:rPr>
          <w:rFonts w:hint="eastAsia"/>
          <w:lang w:val="en-US" w:eastAsia="zh-CN"/>
        </w:rPr>
        <w:t>.</w:t>
      </w:r>
      <w:r>
        <w:rPr>
          <w:rFonts w:hint="default"/>
        </w:rPr>
        <w:t>信息化发展情况</w:t>
      </w:r>
    </w:p>
    <w:p>
      <w:pPr>
        <w:pStyle w:val="11"/>
        <w:bidi w:val="0"/>
        <w:rPr>
          <w:rFonts w:hint="default"/>
        </w:rPr>
      </w:pPr>
      <w:r>
        <w:rPr>
          <w:rFonts w:hint="default"/>
        </w:rPr>
        <w:t>截至2022年12月底，通海共建有5G基站355站，较2021年底新增104站；建有4G基站逻辑站533站。目前，我县已实现县域内行政村、自然村4G全覆盖；5G信号实现县域内重点区域及行政村所在地全覆盖，下一步将逐步向自然村覆盖。</w:t>
      </w:r>
    </w:p>
    <w:p>
      <w:pPr>
        <w:pStyle w:val="12"/>
        <w:bidi w:val="0"/>
        <w:rPr>
          <w:rFonts w:hint="default"/>
        </w:rPr>
      </w:pPr>
      <w:r>
        <w:rPr>
          <w:rFonts w:hint="default"/>
        </w:rPr>
        <w:t>二、部门基本情况</w:t>
      </w:r>
    </w:p>
    <w:p>
      <w:pPr>
        <w:pStyle w:val="14"/>
        <w:bidi w:val="0"/>
        <w:rPr>
          <w:rFonts w:hint="default"/>
        </w:rPr>
      </w:pPr>
      <w:r>
        <w:rPr>
          <w:rFonts w:hint="default"/>
        </w:rPr>
        <w:t>（一）机构设置情况</w:t>
      </w:r>
    </w:p>
    <w:p>
      <w:pPr>
        <w:pStyle w:val="11"/>
        <w:bidi w:val="0"/>
        <w:rPr>
          <w:rFonts w:hint="default"/>
        </w:rPr>
      </w:pPr>
      <w:r>
        <w:rPr>
          <w:rFonts w:hint="default"/>
        </w:rPr>
        <w:t>我部门共设置10个内设机构和党工委办公室，包括：办公</w:t>
      </w:r>
    </w:p>
    <w:p>
      <w:pPr>
        <w:pStyle w:val="11"/>
        <w:bidi w:val="0"/>
        <w:rPr>
          <w:rFonts w:hint="default"/>
        </w:rPr>
      </w:pPr>
      <w:r>
        <w:rPr>
          <w:rFonts w:hint="default"/>
        </w:rPr>
        <w:t>室、工业股、经济运行股、中小企业股、节能资源股、商贸流通股、行政审批和政策法规股、科学技术股、信息产业和无线电管理股、安全生产股。</w:t>
      </w:r>
    </w:p>
    <w:p>
      <w:pPr>
        <w:pStyle w:val="11"/>
        <w:bidi w:val="0"/>
        <w:rPr>
          <w:rFonts w:hint="default"/>
        </w:rPr>
      </w:pPr>
      <w:r>
        <w:rPr>
          <w:rFonts w:hint="default"/>
        </w:rPr>
        <w:t>所属事业单位2个，分别是：</w:t>
      </w:r>
    </w:p>
    <w:p>
      <w:pPr>
        <w:pStyle w:val="11"/>
        <w:bidi w:val="0"/>
        <w:rPr>
          <w:rFonts w:hint="default"/>
        </w:rPr>
      </w:pPr>
      <w:r>
        <w:rPr>
          <w:rFonts w:hint="default"/>
        </w:rPr>
        <w:t>1.通海县科技成果转化和民营经济发展中心</w:t>
      </w:r>
    </w:p>
    <w:p>
      <w:pPr>
        <w:pStyle w:val="11"/>
        <w:bidi w:val="0"/>
        <w:rPr>
          <w:rFonts w:hint="default"/>
        </w:rPr>
      </w:pPr>
      <w:r>
        <w:rPr>
          <w:rFonts w:hint="default"/>
        </w:rPr>
        <w:t>2.通海县商务主体服务中心</w:t>
      </w:r>
    </w:p>
    <w:p>
      <w:pPr>
        <w:pStyle w:val="14"/>
        <w:bidi w:val="0"/>
        <w:rPr>
          <w:rFonts w:hint="default"/>
        </w:rPr>
      </w:pPr>
      <w:r>
        <w:rPr>
          <w:rFonts w:hint="default"/>
        </w:rPr>
        <w:t>（二）决算单位构成</w:t>
      </w:r>
    </w:p>
    <w:p>
      <w:pPr>
        <w:pStyle w:val="11"/>
        <w:bidi w:val="0"/>
        <w:rPr>
          <w:rFonts w:hint="default"/>
        </w:rPr>
      </w:pPr>
      <w:r>
        <w:rPr>
          <w:rFonts w:hint="default"/>
        </w:rPr>
        <w:t>纳入通海县工业商贸和科技信息局2022年度部门决算编报的单位共1个。其中：行政单位1个，参照公务员法管理的事业单位0个，其他事业单位0个。分别是：</w:t>
      </w:r>
    </w:p>
    <w:p>
      <w:pPr>
        <w:pStyle w:val="11"/>
        <w:bidi w:val="0"/>
        <w:rPr>
          <w:rFonts w:hint="default"/>
        </w:rPr>
      </w:pPr>
      <w:r>
        <w:rPr>
          <w:rFonts w:hint="default"/>
        </w:rPr>
        <w:t>1.通海县工业商贸和科技信息局</w:t>
      </w:r>
    </w:p>
    <w:p>
      <w:pPr>
        <w:pStyle w:val="14"/>
        <w:bidi w:val="0"/>
        <w:rPr>
          <w:rFonts w:hint="default"/>
        </w:rPr>
      </w:pPr>
      <w:r>
        <w:rPr>
          <w:rFonts w:hint="default"/>
        </w:rPr>
        <w:t>（三）部门人员和车辆的编制及实有情况</w:t>
      </w:r>
    </w:p>
    <w:p>
      <w:pPr>
        <w:pStyle w:val="11"/>
        <w:bidi w:val="0"/>
        <w:rPr>
          <w:rFonts w:hint="default"/>
        </w:rPr>
      </w:pPr>
      <w:r>
        <w:rPr>
          <w:rFonts w:hint="default"/>
        </w:rPr>
        <w:t>通海县工业商贸和科技信息局2022年末实有人员编制38人。其中：行政编制25人（含行政工勤编制5人），事业编制13人（含参公管理事业编制0人）；在职在编实有行政人员22人（含行政工勤人员53人），事业人员13人（含参公管理事业人员0人）。</w:t>
      </w:r>
    </w:p>
    <w:p>
      <w:pPr>
        <w:pStyle w:val="11"/>
        <w:bidi w:val="0"/>
        <w:rPr>
          <w:rFonts w:hint="default"/>
        </w:rPr>
      </w:pPr>
      <w:r>
        <w:rPr>
          <w:rFonts w:hint="default"/>
        </w:rPr>
        <w:t>尚未移交养老保险基金发放养老金的离退休人员共计0人（离休0人，退休0人）；由养老保险基金发放养老金的离退休人员61人（离休1人，退休60人）。</w:t>
      </w:r>
    </w:p>
    <w:p>
      <w:pPr>
        <w:pStyle w:val="11"/>
        <w:bidi w:val="0"/>
        <w:rPr>
          <w:rFonts w:hint="default"/>
        </w:rPr>
      </w:pPr>
      <w:r>
        <w:rPr>
          <w:rFonts w:hint="default"/>
        </w:rPr>
        <w:t>实有车辆编制1辆，在编实有车辆1辆。</w:t>
      </w:r>
    </w:p>
    <w:p>
      <w:pPr>
        <w:pStyle w:val="10"/>
        <w:bidi w:val="0"/>
        <w:rPr>
          <w:rFonts w:hint="default"/>
        </w:rPr>
      </w:pPr>
      <w:r>
        <w:rPr>
          <w:rFonts w:hint="default"/>
        </w:rPr>
        <w:t>第二部分</w:t>
      </w:r>
      <w:r>
        <w:rPr>
          <w:rFonts w:hint="eastAsia"/>
          <w:lang w:val="en-US" w:eastAsia="zh-CN"/>
        </w:rPr>
        <w:t xml:space="preserve"> </w:t>
      </w:r>
      <w:r>
        <w:rPr>
          <w:rFonts w:hint="default"/>
        </w:rPr>
        <w:t>2022年度部门决算表</w:t>
      </w:r>
    </w:p>
    <w:p>
      <w:pPr>
        <w:pStyle w:val="11"/>
        <w:keepNext w:val="0"/>
        <w:keepLines w:val="0"/>
        <w:pageBreakBefore w:val="0"/>
        <w:widowControl/>
        <w:kinsoku/>
        <w:wordWrap/>
        <w:overflowPunct/>
        <w:topLinePunct w:val="0"/>
        <w:autoSpaceDE/>
        <w:autoSpaceDN/>
        <w:bidi w:val="0"/>
        <w:adjustRightInd/>
        <w:snapToGrid/>
        <w:spacing w:before="0"/>
        <w:ind w:firstLine="0"/>
        <w:jc w:val="center"/>
        <w:textAlignment w:val="auto"/>
        <w:rPr>
          <w:rFonts w:hint="default"/>
        </w:rPr>
      </w:pPr>
      <w:r>
        <w:rPr>
          <w:rFonts w:hint="default"/>
        </w:rPr>
        <w:t>（详见附件）</w:t>
      </w:r>
    </w:p>
    <w:p>
      <w:pPr>
        <w:pStyle w:val="11"/>
        <w:shd w:val="clear" w:color="auto" w:fill="FFFFFF"/>
        <w:bidi w:val="0"/>
        <w:ind w:firstLine="601"/>
        <w:rPr>
          <w:rFonts w:hint="default"/>
        </w:rPr>
      </w:pPr>
      <w:r>
        <w:rPr>
          <w:rFonts w:hint="eastAsia"/>
          <w:color w:val="000000"/>
          <w:lang w:eastAsia="zh-CN"/>
        </w:rPr>
        <w:t>通海县工业商贸和科技信息局</w:t>
      </w:r>
      <w:r>
        <w:rPr>
          <w:rFonts w:hint="default"/>
          <w:color w:val="000000"/>
        </w:rPr>
        <w:t>2022年度</w:t>
      </w:r>
      <w:r>
        <w:rPr>
          <w:rFonts w:hint="eastAsia"/>
          <w:color w:val="000000"/>
          <w:lang w:val="en-US" w:eastAsia="zh-CN"/>
        </w:rPr>
        <w:t>单位</w:t>
      </w:r>
      <w:r>
        <w:rPr>
          <w:rFonts w:hint="eastAsia"/>
          <w:color w:val="000000"/>
          <w:lang w:eastAsia="zh-CN"/>
        </w:rPr>
        <w:t>2022年没有国有资本经营预算财政拨款收入，也没有使用国有资本经营预算财政拨款安排的支出，《国有资本经营预算财政拨款收入支出决算表》为空表。</w:t>
      </w:r>
    </w:p>
    <w:p>
      <w:pPr>
        <w:pStyle w:val="10"/>
        <w:bidi w:val="0"/>
        <w:rPr>
          <w:rFonts w:hint="default"/>
        </w:rPr>
      </w:pPr>
      <w:r>
        <w:rPr>
          <w:rFonts w:hint="default"/>
        </w:rPr>
        <w:t>第三部分</w:t>
      </w:r>
      <w:r>
        <w:rPr>
          <w:rFonts w:hint="eastAsia"/>
          <w:lang w:val="en-US" w:eastAsia="zh-CN"/>
        </w:rPr>
        <w:t xml:space="preserve"> </w:t>
      </w:r>
      <w:r>
        <w:rPr>
          <w:rFonts w:hint="default"/>
        </w:rPr>
        <w:t>2022年度部门决算情况说明</w:t>
      </w:r>
    </w:p>
    <w:p>
      <w:pPr>
        <w:pStyle w:val="12"/>
        <w:bidi w:val="0"/>
        <w:rPr>
          <w:rFonts w:hint="default"/>
        </w:rPr>
      </w:pPr>
      <w:r>
        <w:rPr>
          <w:rFonts w:hint="default"/>
        </w:rPr>
        <w:t>一、收入决算情况说明</w:t>
      </w:r>
    </w:p>
    <w:p>
      <w:pPr>
        <w:pStyle w:val="11"/>
        <w:bidi w:val="0"/>
        <w:rPr>
          <w:rFonts w:hint="default"/>
        </w:rPr>
      </w:pPr>
      <w:r>
        <w:rPr>
          <w:rFonts w:hint="default"/>
          <w:color w:val="000000"/>
          <w:lang w:eastAsia="zh-CN"/>
        </w:rPr>
        <w:t>通海县工业商贸和科技信息局2022年度收入合计17,633,658.28元。其中：财政拨款收入17,633,658.28元，占总收入的100.00%；上级补助收入0.00元，占总收入的0.00%；事业收入0.00元（含教育收费0.00元），占总收入的0.00%；经营收入0.00元，占总收入的0.00%；附属单位缴</w:t>
      </w:r>
      <w:r>
        <w:rPr>
          <w:rFonts w:hint="default"/>
        </w:rPr>
        <w:t>款收入0.00元，占总收入的0.00%；其他收入0.00元，占总收入的0.00%。与上年相比，收入合计增加3,379,954.44元，增长23.71%。其中：财政拨款收入增加3,379,954.44元，增长23.71%；上级补助收入增加0.00元，增长0.00%；事业收入增加0.00元，增长0.00%；经营收入增加0.00元，增长0.00%；附属单位上缴收入增加0.00元，增长0.00%；其他收入增加0.00元，增长0.00%。主要原因是：2022年基本支出预算比2021年增加，项目预算支出比2021年增加，均为县级科技计划资金以前年度没有拨付合并在本年预算。2022年县级政府性基金预算财政预拨款增加了606.65万元，科学技术支出增加了106.79万元。</w:t>
      </w:r>
    </w:p>
    <w:p>
      <w:pPr>
        <w:pStyle w:val="12"/>
        <w:bidi w:val="0"/>
        <w:rPr>
          <w:rFonts w:hint="default"/>
        </w:rPr>
      </w:pPr>
      <w:r>
        <w:rPr>
          <w:rFonts w:hint="default"/>
        </w:rPr>
        <w:t>二、支出决算情况说明</w:t>
      </w:r>
    </w:p>
    <w:p>
      <w:pPr>
        <w:pStyle w:val="11"/>
        <w:bidi w:val="0"/>
        <w:rPr>
          <w:rFonts w:hint="default"/>
        </w:rPr>
      </w:pPr>
      <w:r>
        <w:rPr>
          <w:rFonts w:hint="default"/>
        </w:rPr>
        <w:t>通海县工业商贸和科技信息局2022年度支出合计17,672,394.28元。其中：基本支出7,226,093.14元，占总支出的40.89%；项目支出10,446,301.14元，占总支出的59.11%；上缴上级支出0.00元，占总支出的0.00％；经营支出0.00元，占总支出的0.00％；对附属单位补助支出0.00元，占总支出的0.00％。与上年相比，支出合计增加2,876,412.38元，增长19.44%。其中：基本支出增加238,544.72元，增长3.41%；项目支出增加2,637,867.66元，增长33.78%；上缴上级支出增加0.00元，增长0.00%；经营支出增加0.00元，增长0.00%；对附属单位补助支出增加0.00元，增长0.00%。主要原因分析：一是基本支出增加，主要是津补贴等人员支出增加，包括基本工资、津贴补贴等人员经费；二是项目支出增加，主要是2022年县级政府性基金预算财政预拨款606.65万元转列支出，科学技术支出增加了106.79万元。</w:t>
      </w:r>
    </w:p>
    <w:p>
      <w:pPr>
        <w:pStyle w:val="11"/>
        <w:bidi w:val="0"/>
        <w:rPr>
          <w:rFonts w:hint="default"/>
        </w:rPr>
      </w:pPr>
      <w:r>
        <w:rPr>
          <w:rFonts w:hint="default"/>
        </w:rPr>
        <w:t>（一）基本支出情况</w:t>
      </w:r>
    </w:p>
    <w:p>
      <w:pPr>
        <w:pStyle w:val="11"/>
        <w:bidi w:val="0"/>
        <w:rPr>
          <w:rFonts w:hint="default"/>
        </w:rPr>
      </w:pPr>
      <w:r>
        <w:rPr>
          <w:rFonts w:hint="default"/>
        </w:rPr>
        <w:t>2022年度用于保障通海县工业商贸和科技信息局机关、下属事业单位等机构正常运转的日常支出7,226,093.14元。其中：基本工资、津贴补贴等人员经费支出6,805,433.62元，占基本支出的94.18％；办公费、印刷费、水电费、办公设备购置等公用经费420,659.52元，占基本支出的5.82％。</w:t>
      </w:r>
    </w:p>
    <w:p>
      <w:pPr>
        <w:pStyle w:val="14"/>
        <w:bidi w:val="0"/>
        <w:rPr>
          <w:rFonts w:hint="default"/>
        </w:rPr>
      </w:pPr>
      <w:r>
        <w:rPr>
          <w:rFonts w:hint="default"/>
        </w:rPr>
        <w:t>（二）项目支出情况</w:t>
      </w:r>
    </w:p>
    <w:p>
      <w:pPr>
        <w:pStyle w:val="11"/>
        <w:bidi w:val="0"/>
        <w:rPr>
          <w:rFonts w:hint="default"/>
        </w:rPr>
      </w:pPr>
      <w:r>
        <w:rPr>
          <w:rFonts w:hint="default"/>
        </w:rPr>
        <w:t>2022年度用于保障通海县工业商贸和科技信息局机构、下属事业单位等机构为完成特定的行政工作任务或事业发展目标，用于专项业务工作的经费支出10,446,301.14元。其中：基本建设类项目支出0.00元。</w:t>
      </w:r>
    </w:p>
    <w:p>
      <w:pPr>
        <w:pStyle w:val="11"/>
        <w:bidi w:val="0"/>
        <w:rPr>
          <w:rFonts w:hint="default"/>
        </w:rPr>
      </w:pPr>
      <w:r>
        <w:rPr>
          <w:rFonts w:hint="default"/>
        </w:rPr>
        <w:t>2022年度项目支出1044.63万元比上年780.84万元增加263.79万元，增长33.78%。主要原因分析：2022年县级政府性基金预算财政预拨款606.65万元转列支出，科学技术支出增加106.79万元。</w:t>
      </w:r>
    </w:p>
    <w:p>
      <w:pPr>
        <w:pStyle w:val="11"/>
        <w:shd w:val="clear" w:color="auto" w:fill="FFFFFF"/>
        <w:bidi w:val="0"/>
        <w:ind w:firstLine="601"/>
        <w:rPr>
          <w:rFonts w:hint="default"/>
          <w:color w:val="000000"/>
        </w:rPr>
      </w:pPr>
      <w:r>
        <w:rPr>
          <w:rFonts w:hint="default"/>
          <w:color w:val="000000"/>
        </w:rPr>
        <w:t>具体项目开支及开展工作情况：</w:t>
      </w:r>
    </w:p>
    <w:p>
      <w:pPr>
        <w:pStyle w:val="11"/>
        <w:shd w:val="clear" w:color="auto" w:fill="FFFFFF"/>
        <w:bidi w:val="0"/>
        <w:ind w:firstLine="601"/>
        <w:rPr>
          <w:rFonts w:hint="eastAsia"/>
          <w:color w:val="000000"/>
          <w:lang w:val="en-US" w:eastAsia="zh-CN"/>
        </w:rPr>
      </w:pPr>
      <w:r>
        <w:rPr>
          <w:rFonts w:hint="eastAsia"/>
          <w:color w:val="000000"/>
          <w:lang w:val="en-US" w:eastAsia="zh-CN"/>
        </w:rPr>
        <w:t>城乡社区支出606.65万元，属其他国有土地使用权出让收入安排的支出，主要用于工业园区入园企业土地奖补及全县产业大会支出。</w:t>
      </w:r>
    </w:p>
    <w:p>
      <w:pPr>
        <w:pStyle w:val="11"/>
        <w:shd w:val="clear" w:color="auto" w:fill="FFFFFF"/>
        <w:bidi w:val="0"/>
        <w:ind w:firstLine="601"/>
        <w:rPr>
          <w:rFonts w:hint="default"/>
          <w:color w:val="000000"/>
        </w:rPr>
      </w:pPr>
      <w:r>
        <w:rPr>
          <w:rFonts w:hint="eastAsia"/>
          <w:color w:val="000000"/>
          <w:lang w:val="en-US" w:eastAsia="zh-CN"/>
        </w:rPr>
        <w:t>科学技术支出增加106.79万元，主要用于企业科学技术研发与服务等。</w:t>
      </w:r>
    </w:p>
    <w:p>
      <w:pPr>
        <w:pStyle w:val="11"/>
        <w:shd w:val="clear" w:color="auto" w:fill="FFFFFF"/>
        <w:bidi w:val="0"/>
        <w:ind w:firstLine="601"/>
        <w:rPr>
          <w:rFonts w:hint="default"/>
          <w:color w:val="000000"/>
        </w:rPr>
      </w:pPr>
      <w:r>
        <w:rPr>
          <w:rFonts w:hint="default"/>
          <w:color w:val="000000"/>
        </w:rPr>
        <w:t>年初项目结转71.84万元，其中：财政拨款结转17.2万元，其他资金项目结转54.62万元。</w:t>
      </w:r>
    </w:p>
    <w:p>
      <w:pPr>
        <w:pStyle w:val="11"/>
        <w:shd w:val="clear" w:color="auto" w:fill="FFFFFF"/>
        <w:bidi w:val="0"/>
        <w:ind w:firstLine="601"/>
        <w:rPr>
          <w:rFonts w:hint="default"/>
          <w:color w:val="000000"/>
        </w:rPr>
      </w:pPr>
      <w:r>
        <w:rPr>
          <w:rFonts w:hint="default"/>
          <w:color w:val="000000"/>
        </w:rPr>
        <w:t>财政拨款收入1，156.71万元（一般公共服务支出3.6万元，科学技术支出323.80万元；社会保障和就业支出103.40万元；卫生健康支出161.05万元；资源勘探工业信息等支出519.13万元；住房保障支出45.74万元）</w:t>
      </w:r>
    </w:p>
    <w:p>
      <w:pPr>
        <w:pStyle w:val="11"/>
        <w:bidi w:val="0"/>
        <w:rPr>
          <w:rFonts w:hint="default"/>
        </w:rPr>
      </w:pPr>
      <w:r>
        <w:rPr>
          <w:rFonts w:hint="default"/>
        </w:rPr>
        <w:t>政府性基金预算财政拨款收入606.65万元（即城乡社区支出606.65万元）。</w:t>
      </w:r>
    </w:p>
    <w:p>
      <w:pPr>
        <w:pStyle w:val="11"/>
        <w:bidi w:val="0"/>
        <w:rPr>
          <w:rFonts w:hint="default"/>
        </w:rPr>
      </w:pPr>
      <w:r>
        <w:rPr>
          <w:rFonts w:hint="default"/>
        </w:rPr>
        <w:t>财政拨款支出1</w:t>
      </w:r>
      <w:r>
        <w:rPr>
          <w:rFonts w:hint="eastAsia"/>
          <w:lang w:val="en-US" w:eastAsia="zh-CN"/>
        </w:rPr>
        <w:t>,</w:t>
      </w:r>
      <w:r>
        <w:rPr>
          <w:rFonts w:hint="default"/>
        </w:rPr>
        <w:t>160.59万元（一般公共服务支出3.6万元，科学技术支出323.8万元；社会保障和就业支出103.4万元；卫生健康支出161.07万元；资源勘探工业信息等支出522.98万元；住房保障支出45.74万元）。</w:t>
      </w:r>
    </w:p>
    <w:p>
      <w:pPr>
        <w:pStyle w:val="11"/>
        <w:bidi w:val="0"/>
        <w:rPr>
          <w:rFonts w:hint="default"/>
        </w:rPr>
      </w:pPr>
      <w:r>
        <w:rPr>
          <w:rFonts w:hint="default"/>
        </w:rPr>
        <w:t>政府性基金预算财政拨款支出606.65万元（城乡社区支出606.65万元）</w:t>
      </w:r>
    </w:p>
    <w:p>
      <w:pPr>
        <w:pStyle w:val="12"/>
        <w:bidi w:val="0"/>
        <w:rPr>
          <w:rFonts w:hint="default"/>
        </w:rPr>
      </w:pPr>
      <w:r>
        <w:rPr>
          <w:rFonts w:hint="default"/>
        </w:rPr>
        <w:t>三、一般公共预算财政拨款支出决算情况说明</w:t>
      </w:r>
    </w:p>
    <w:p>
      <w:pPr>
        <w:pStyle w:val="14"/>
        <w:bidi w:val="0"/>
        <w:rPr>
          <w:rFonts w:hint="default"/>
        </w:rPr>
      </w:pPr>
      <w:r>
        <w:rPr>
          <w:rFonts w:hint="default"/>
        </w:rPr>
        <w:t>（一）一般公共预算财政拨款支出决算总体情况</w:t>
      </w:r>
    </w:p>
    <w:p>
      <w:pPr>
        <w:pStyle w:val="11"/>
        <w:bidi w:val="0"/>
        <w:rPr>
          <w:rFonts w:hint="default"/>
        </w:rPr>
      </w:pPr>
      <w:r>
        <w:rPr>
          <w:rFonts w:hint="default"/>
        </w:rPr>
        <w:t>通海县工业商贸和科技信息局2022年度一般公共预算财政拨款支出11,567,120.78元，占本年支出合计的</w:t>
      </w:r>
      <w:r>
        <w:rPr>
          <w:rFonts w:hint="eastAsia"/>
          <w:lang w:val="en-US" w:eastAsia="zh-CN"/>
        </w:rPr>
        <w:t>65.45</w:t>
      </w:r>
      <w:r>
        <w:rPr>
          <w:rFonts w:hint="default"/>
        </w:rPr>
        <w:t>%。与上年相比减少2,959,731.12元，下降20.37%，主要原因分析：本年主要是项目资金减少。</w:t>
      </w:r>
    </w:p>
    <w:p>
      <w:pPr>
        <w:pStyle w:val="14"/>
        <w:bidi w:val="0"/>
        <w:rPr>
          <w:rFonts w:hint="default"/>
        </w:rPr>
      </w:pPr>
      <w:r>
        <w:rPr>
          <w:rFonts w:hint="default"/>
        </w:rPr>
        <w:t>（二）一般公共预算财政拨款支出决算具体情况</w:t>
      </w:r>
    </w:p>
    <w:p>
      <w:pPr>
        <w:pStyle w:val="11"/>
        <w:bidi w:val="0"/>
        <w:rPr>
          <w:rFonts w:hint="default"/>
        </w:rPr>
      </w:pPr>
      <w:r>
        <w:rPr>
          <w:rFonts w:hint="default"/>
        </w:rPr>
        <w:t>1.一般公共服务（类）支出36,000.00元，占一般公共预算财政拨款总支出的0.31%。主要用于下达玉财产业〔2020〕59号通海县工业发展经费通海县工业发展补助经费用。</w:t>
      </w:r>
    </w:p>
    <w:p>
      <w:pPr>
        <w:pStyle w:val="11"/>
        <w:bidi w:val="0"/>
        <w:rPr>
          <w:rFonts w:hint="default"/>
        </w:rPr>
      </w:pPr>
      <w:r>
        <w:rPr>
          <w:rFonts w:hint="default"/>
        </w:rPr>
        <w:t>2.外交（类）支出0.00元，占一般公共预算财政拨款总支出的0.00%。</w:t>
      </w:r>
    </w:p>
    <w:p>
      <w:pPr>
        <w:pStyle w:val="11"/>
        <w:bidi w:val="0"/>
        <w:rPr>
          <w:rFonts w:hint="default"/>
        </w:rPr>
      </w:pPr>
      <w:r>
        <w:rPr>
          <w:rFonts w:hint="default"/>
        </w:rPr>
        <w:t>3.国防（类）支出0.00元，占一般公共预算财政拨款总支出的0.00%。</w:t>
      </w:r>
    </w:p>
    <w:p>
      <w:pPr>
        <w:pStyle w:val="11"/>
        <w:bidi w:val="0"/>
        <w:rPr>
          <w:rFonts w:hint="default"/>
        </w:rPr>
      </w:pPr>
      <w:r>
        <w:rPr>
          <w:rFonts w:hint="default"/>
        </w:rPr>
        <w:t>4.公共安全（类）支出0.00元，占一般公共预算财政拨款总支出的0.00%。</w:t>
      </w:r>
    </w:p>
    <w:p>
      <w:pPr>
        <w:pStyle w:val="11"/>
        <w:bidi w:val="0"/>
        <w:rPr>
          <w:rFonts w:hint="default"/>
        </w:rPr>
      </w:pPr>
      <w:r>
        <w:rPr>
          <w:rFonts w:hint="default"/>
        </w:rPr>
        <w:t>5.教育（类）支出0.00元，占一般公共预算财政拨款总支出的0.00%。</w:t>
      </w:r>
    </w:p>
    <w:p>
      <w:pPr>
        <w:pStyle w:val="11"/>
        <w:bidi w:val="0"/>
        <w:rPr>
          <w:rFonts w:hint="default"/>
        </w:rPr>
      </w:pPr>
      <w:r>
        <w:rPr>
          <w:rFonts w:hint="default"/>
        </w:rPr>
        <w:t>6.科学技术（类）支出3,237,900.00元，占一般公共预算财政拨款总支出的27.99%。企业科学技术研发与服务等，其中预追字〔2022〕0085号2021年科技计划项目省级对下转移支付补助资金290万元拨付光林包装公司等18户企业；通财〔2022〕213号2022年科技计划省对下转移支付补助资金33.79万元拨付方圆工贸等14户企业。</w:t>
      </w:r>
    </w:p>
    <w:p>
      <w:pPr>
        <w:pStyle w:val="11"/>
        <w:bidi w:val="0"/>
        <w:rPr>
          <w:rFonts w:hint="default"/>
        </w:rPr>
      </w:pPr>
      <w:r>
        <w:rPr>
          <w:rFonts w:hint="default"/>
        </w:rPr>
        <w:t>7.文化旅游体育与传媒（类）支出0.00元，占一般公共预算财政拨款总支出的0.00%。</w:t>
      </w:r>
    </w:p>
    <w:p>
      <w:pPr>
        <w:pStyle w:val="11"/>
        <w:bidi w:val="0"/>
        <w:rPr>
          <w:rFonts w:hint="default"/>
        </w:rPr>
      </w:pPr>
      <w:r>
        <w:rPr>
          <w:rFonts w:hint="default"/>
        </w:rPr>
        <w:t>8.社会保障和就业（类）支出1,033,983.28元，占一般公共预算财政拨款总支出的8.94%。主要用于行政事业单位养老支出61.28万元，死亡抚恤42.12万元。</w:t>
      </w:r>
    </w:p>
    <w:p>
      <w:pPr>
        <w:pStyle w:val="11"/>
        <w:bidi w:val="0"/>
        <w:rPr>
          <w:rFonts w:hint="default"/>
        </w:rPr>
      </w:pPr>
      <w:r>
        <w:rPr>
          <w:rFonts w:hint="default"/>
        </w:rPr>
        <w:t>9.卫生健康（类）支出1,610,478.54元，占一般公共预算财政拨款总支出的13.92%。主要用于突发公共卫生事件应急处理，均为通财〔2022〕1号2022年新冠肺炎疫情防控经费。</w:t>
      </w:r>
    </w:p>
    <w:p>
      <w:pPr>
        <w:pStyle w:val="11"/>
        <w:bidi w:val="0"/>
        <w:rPr>
          <w:rFonts w:hint="default"/>
        </w:rPr>
      </w:pPr>
      <w:r>
        <w:rPr>
          <w:rFonts w:hint="default"/>
        </w:rPr>
        <w:t>10.节能环保（类）支出0.00元，占一般公共预算财政拨款总支出的0.00%。</w:t>
      </w:r>
    </w:p>
    <w:p>
      <w:pPr>
        <w:pStyle w:val="11"/>
        <w:bidi w:val="0"/>
        <w:rPr>
          <w:rFonts w:hint="default"/>
        </w:rPr>
      </w:pPr>
      <w:r>
        <w:rPr>
          <w:rFonts w:hint="default"/>
        </w:rPr>
        <w:t>11.12.农林水（类）支出0.00元，占一般公共预算财政拨款总支出的0.00%。</w:t>
      </w:r>
    </w:p>
    <w:p>
      <w:pPr>
        <w:pStyle w:val="11"/>
        <w:bidi w:val="0"/>
        <w:rPr>
          <w:rFonts w:hint="default"/>
        </w:rPr>
      </w:pPr>
      <w:r>
        <w:rPr>
          <w:rFonts w:hint="default"/>
        </w:rPr>
        <w:t>1</w:t>
      </w:r>
      <w:r>
        <w:rPr>
          <w:rFonts w:hint="eastAsia"/>
          <w:lang w:val="en-US" w:eastAsia="zh-CN"/>
        </w:rPr>
        <w:t>2</w:t>
      </w:r>
      <w:r>
        <w:rPr>
          <w:rFonts w:hint="default"/>
        </w:rPr>
        <w:t>.交通运输（类）支出0.00元，占一般公共预算财政拨款总支出的0.00%。</w:t>
      </w:r>
    </w:p>
    <w:p>
      <w:pPr>
        <w:pStyle w:val="11"/>
        <w:bidi w:val="0"/>
        <w:rPr>
          <w:rFonts w:hint="default"/>
        </w:rPr>
      </w:pPr>
      <w:r>
        <w:rPr>
          <w:rFonts w:hint="default"/>
        </w:rPr>
        <w:t>1</w:t>
      </w:r>
      <w:r>
        <w:rPr>
          <w:rFonts w:hint="eastAsia"/>
          <w:lang w:val="en-US" w:eastAsia="zh-CN"/>
        </w:rPr>
        <w:t>3</w:t>
      </w:r>
      <w:r>
        <w:rPr>
          <w:rFonts w:hint="default"/>
        </w:rPr>
        <w:t>.资源勘探工业信息等（类）支出类5,191,320.80元，占一般公共预算财政拨款总支出的44.88%。主要用于行政事业单位养老支出61.28万元，死亡抚恤42.12万元。</w:t>
      </w:r>
    </w:p>
    <w:p>
      <w:pPr>
        <w:pStyle w:val="11"/>
        <w:bidi w:val="0"/>
        <w:rPr>
          <w:rFonts w:hint="default"/>
        </w:rPr>
      </w:pPr>
      <w:r>
        <w:rPr>
          <w:rFonts w:hint="default"/>
        </w:rPr>
        <w:t>1</w:t>
      </w:r>
      <w:r>
        <w:rPr>
          <w:rFonts w:hint="eastAsia"/>
          <w:lang w:val="en-US" w:eastAsia="zh-CN"/>
        </w:rPr>
        <w:t>4</w:t>
      </w:r>
      <w:r>
        <w:rPr>
          <w:rFonts w:hint="default"/>
        </w:rPr>
        <w:t>.商业服务业等（类）支出0.00元，占一般公共预算财政拨款总支出的0.00%。</w:t>
      </w:r>
    </w:p>
    <w:p>
      <w:pPr>
        <w:pStyle w:val="11"/>
        <w:bidi w:val="0"/>
        <w:rPr>
          <w:rFonts w:hint="default"/>
        </w:rPr>
      </w:pPr>
      <w:r>
        <w:rPr>
          <w:rFonts w:hint="default"/>
        </w:rPr>
        <w:t>1</w:t>
      </w:r>
      <w:r>
        <w:rPr>
          <w:rFonts w:hint="eastAsia"/>
          <w:lang w:val="en-US" w:eastAsia="zh-CN"/>
        </w:rPr>
        <w:t>5</w:t>
      </w:r>
      <w:r>
        <w:rPr>
          <w:rFonts w:hint="default"/>
        </w:rPr>
        <w:t>.金融（类）支出0.00元，占一般公共预算财政拨款总支出的0.00%。</w:t>
      </w:r>
    </w:p>
    <w:p>
      <w:pPr>
        <w:pStyle w:val="11"/>
        <w:bidi w:val="0"/>
        <w:rPr>
          <w:rFonts w:hint="default"/>
        </w:rPr>
      </w:pPr>
      <w:r>
        <w:rPr>
          <w:rFonts w:hint="default"/>
        </w:rPr>
        <w:t>1</w:t>
      </w:r>
      <w:r>
        <w:rPr>
          <w:rFonts w:hint="eastAsia"/>
          <w:lang w:val="en-US" w:eastAsia="zh-CN"/>
        </w:rPr>
        <w:t>6</w:t>
      </w:r>
      <w:r>
        <w:rPr>
          <w:rFonts w:hint="default"/>
        </w:rPr>
        <w:t>.援助其他地区（类）支出0.00元，占一般公共预算财政拨款总支出的0.00%。</w:t>
      </w:r>
    </w:p>
    <w:p>
      <w:pPr>
        <w:pStyle w:val="11"/>
        <w:bidi w:val="0"/>
        <w:rPr>
          <w:rFonts w:hint="default"/>
        </w:rPr>
      </w:pPr>
      <w:r>
        <w:rPr>
          <w:rFonts w:hint="default"/>
        </w:rPr>
        <w:t>1</w:t>
      </w:r>
      <w:r>
        <w:rPr>
          <w:rFonts w:hint="eastAsia"/>
          <w:lang w:val="en-US" w:eastAsia="zh-CN"/>
        </w:rPr>
        <w:t>7</w:t>
      </w:r>
      <w:r>
        <w:rPr>
          <w:rFonts w:hint="default"/>
        </w:rPr>
        <w:t>.自然资源海洋气象等（类）支出0.00元，占一般公共预算财政拨款总支出的0.00%。</w:t>
      </w:r>
    </w:p>
    <w:p>
      <w:pPr>
        <w:pStyle w:val="11"/>
        <w:bidi w:val="0"/>
        <w:rPr>
          <w:rFonts w:hint="default"/>
        </w:rPr>
      </w:pPr>
      <w:r>
        <w:rPr>
          <w:rFonts w:hint="default"/>
        </w:rPr>
        <w:t>1</w:t>
      </w:r>
      <w:r>
        <w:rPr>
          <w:rFonts w:hint="eastAsia"/>
          <w:lang w:val="en-US" w:eastAsia="zh-CN"/>
        </w:rPr>
        <w:t>8</w:t>
      </w:r>
      <w:r>
        <w:rPr>
          <w:rFonts w:hint="default"/>
        </w:rPr>
        <w:t>.住房保障（类）支出457,438.16元，占一般公共预算财政拨款总支出的3.95%。主要用于住房公积金支出44.93万元，购房补贴支出0.81万元。</w:t>
      </w:r>
    </w:p>
    <w:p>
      <w:pPr>
        <w:pStyle w:val="11"/>
        <w:bidi w:val="0"/>
        <w:rPr>
          <w:rFonts w:hint="default"/>
        </w:rPr>
      </w:pPr>
      <w:r>
        <w:rPr>
          <w:rFonts w:hint="eastAsia"/>
          <w:lang w:val="en-US" w:eastAsia="zh-CN"/>
        </w:rPr>
        <w:t>19</w:t>
      </w:r>
      <w:r>
        <w:rPr>
          <w:rFonts w:hint="default"/>
        </w:rPr>
        <w:t>.粮油物资储备（类）支出0.00元，占一般公共预算财政拨款总支出的0.00%。</w:t>
      </w:r>
    </w:p>
    <w:p>
      <w:pPr>
        <w:pStyle w:val="11"/>
        <w:bidi w:val="0"/>
        <w:rPr>
          <w:rFonts w:hint="default"/>
        </w:rPr>
      </w:pPr>
      <w:r>
        <w:rPr>
          <w:rFonts w:hint="default"/>
        </w:rPr>
        <w:t>2</w:t>
      </w:r>
      <w:r>
        <w:rPr>
          <w:rFonts w:hint="eastAsia"/>
          <w:lang w:val="en-US" w:eastAsia="zh-CN"/>
        </w:rPr>
        <w:t>0</w:t>
      </w:r>
      <w:r>
        <w:rPr>
          <w:rFonts w:hint="default"/>
        </w:rPr>
        <w:t>.国有资本经营预算（类）支出0.00元，占一般公共预算财政拨款总支出的0.00%。</w:t>
      </w:r>
    </w:p>
    <w:p>
      <w:pPr>
        <w:pStyle w:val="11"/>
        <w:bidi w:val="0"/>
        <w:rPr>
          <w:rFonts w:hint="default"/>
        </w:rPr>
      </w:pPr>
      <w:r>
        <w:rPr>
          <w:rFonts w:hint="default"/>
        </w:rPr>
        <w:t>2</w:t>
      </w:r>
      <w:r>
        <w:rPr>
          <w:rFonts w:hint="eastAsia"/>
          <w:lang w:val="en-US" w:eastAsia="zh-CN"/>
        </w:rPr>
        <w:t>1</w:t>
      </w:r>
      <w:r>
        <w:rPr>
          <w:rFonts w:hint="default"/>
        </w:rPr>
        <w:t>.灾害防治及应急管理（类）支出0.00元，占一般公共预算财政拨款总支出的0.00%。</w:t>
      </w:r>
    </w:p>
    <w:p>
      <w:pPr>
        <w:pStyle w:val="11"/>
        <w:bidi w:val="0"/>
        <w:rPr>
          <w:rFonts w:hint="default"/>
        </w:rPr>
      </w:pPr>
      <w:r>
        <w:rPr>
          <w:rFonts w:hint="default"/>
        </w:rPr>
        <w:t>2</w:t>
      </w:r>
      <w:r>
        <w:rPr>
          <w:rFonts w:hint="eastAsia"/>
          <w:lang w:val="en-US" w:eastAsia="zh-CN"/>
        </w:rPr>
        <w:t>2</w:t>
      </w:r>
      <w:r>
        <w:rPr>
          <w:rFonts w:hint="default"/>
        </w:rPr>
        <w:t>.其他（类）支出0.00元，占一般公共预算财政拨款总支出的0.00%。</w:t>
      </w:r>
    </w:p>
    <w:p>
      <w:pPr>
        <w:pStyle w:val="11"/>
        <w:bidi w:val="0"/>
        <w:rPr>
          <w:rFonts w:hint="default"/>
        </w:rPr>
      </w:pPr>
      <w:r>
        <w:rPr>
          <w:rFonts w:hint="default"/>
        </w:rPr>
        <w:t>2</w:t>
      </w:r>
      <w:r>
        <w:rPr>
          <w:rFonts w:hint="eastAsia"/>
          <w:lang w:val="en-US" w:eastAsia="zh-CN"/>
        </w:rPr>
        <w:t>3</w:t>
      </w:r>
      <w:r>
        <w:rPr>
          <w:rFonts w:hint="default"/>
        </w:rPr>
        <w:t>.债务还本（类）支出0.00元，占一般公共预算财政拨款总支出的0.00%。</w:t>
      </w:r>
    </w:p>
    <w:p>
      <w:pPr>
        <w:pStyle w:val="11"/>
        <w:bidi w:val="0"/>
        <w:rPr>
          <w:rFonts w:hint="default"/>
        </w:rPr>
      </w:pPr>
      <w:r>
        <w:rPr>
          <w:rFonts w:hint="default"/>
        </w:rPr>
        <w:t>2</w:t>
      </w:r>
      <w:r>
        <w:rPr>
          <w:rFonts w:hint="eastAsia"/>
          <w:lang w:val="en-US" w:eastAsia="zh-CN"/>
        </w:rPr>
        <w:t>4</w:t>
      </w:r>
      <w:r>
        <w:rPr>
          <w:rFonts w:hint="default"/>
        </w:rPr>
        <w:t>.债务付息（类）支出0.00元，占一般公共预算财政拨款总支出的0.00%。</w:t>
      </w:r>
    </w:p>
    <w:p>
      <w:pPr>
        <w:pStyle w:val="11"/>
        <w:bidi w:val="0"/>
        <w:rPr>
          <w:rFonts w:hint="default"/>
        </w:rPr>
      </w:pPr>
      <w:r>
        <w:rPr>
          <w:rFonts w:hint="default"/>
        </w:rPr>
        <w:t>2</w:t>
      </w:r>
      <w:r>
        <w:rPr>
          <w:rFonts w:hint="eastAsia"/>
          <w:lang w:val="en-US" w:eastAsia="zh-CN"/>
        </w:rPr>
        <w:t>5</w:t>
      </w:r>
      <w:r>
        <w:rPr>
          <w:rFonts w:hint="default"/>
        </w:rPr>
        <w:t>.抗疫特别国债安排（类）支出0.00元，占一般公共预算财政拨款总支出的0.00%。</w:t>
      </w:r>
    </w:p>
    <w:p>
      <w:pPr>
        <w:pStyle w:val="12"/>
        <w:bidi w:val="0"/>
        <w:rPr>
          <w:rFonts w:hint="default"/>
        </w:rPr>
      </w:pPr>
      <w:r>
        <w:rPr>
          <w:rFonts w:hint="default"/>
        </w:rPr>
        <w:t>四、财政拨款“三公”经费支出决算情况说明</w:t>
      </w:r>
    </w:p>
    <w:p>
      <w:pPr>
        <w:pStyle w:val="11"/>
        <w:bidi w:val="0"/>
        <w:rPr>
          <w:rFonts w:hint="default"/>
        </w:rPr>
      </w:pPr>
      <w:r>
        <w:rPr>
          <w:rFonts w:hint="default"/>
        </w:rPr>
        <w:t>2022年度财政拨款“三公”经费支出决算中，财政拨款“三公”经费支出年初预算为30</w:t>
      </w:r>
      <w:r>
        <w:rPr>
          <w:rFonts w:hint="eastAsia"/>
          <w:lang w:eastAsia="zh-CN"/>
        </w:rPr>
        <w:t>，</w:t>
      </w:r>
      <w:r>
        <w:rPr>
          <w:rFonts w:hint="default"/>
        </w:rPr>
        <w:t>000.00元，支出决算为15,458.37元，完成年初预算的51.</w:t>
      </w:r>
      <w:r>
        <w:rPr>
          <w:rFonts w:hint="eastAsia"/>
          <w:lang w:val="en-US" w:eastAsia="zh-CN"/>
        </w:rPr>
        <w:t>53</w:t>
      </w:r>
      <w:r>
        <w:rPr>
          <w:rFonts w:hint="default"/>
        </w:rPr>
        <w:t>%。其中：因公出国（境）费支出决算0.00元，占总支出决算的0.00%；公务用车购置费支出决算0.00元，占总支出决算的0.00%；公务用车运行维护费支出决算8,986.37元，占总支出决算的58.13%；公务接待费支出决算6,472.00元，占总支出决算的41.87%，具体是国内接待费支出决算6,472.00元（其中：外事接待费支出决算0.00元），国（境）外接待费支出决算0.00元。“三公”经费财政拨款支出</w:t>
      </w:r>
    </w:p>
    <w:p>
      <w:pPr>
        <w:pStyle w:val="11"/>
        <w:bidi w:val="0"/>
        <w:rPr>
          <w:rFonts w:hint="default"/>
        </w:rPr>
      </w:pPr>
      <w:r>
        <w:rPr>
          <w:rFonts w:hint="default"/>
        </w:rPr>
        <w:t>明细情况如下：</w:t>
      </w:r>
    </w:p>
    <w:p>
      <w:pPr>
        <w:pStyle w:val="11"/>
        <w:bidi w:val="0"/>
        <w:rPr>
          <w:rFonts w:hint="default"/>
        </w:rPr>
      </w:pPr>
      <w:r>
        <w:rPr>
          <w:rFonts w:hint="default"/>
        </w:rPr>
        <w:t>2022年度“三公”经费财政拨款支出决算中，因公出国（境）费支出0</w:t>
      </w:r>
      <w:r>
        <w:rPr>
          <w:rFonts w:hint="eastAsia"/>
          <w:lang w:val="en-US" w:eastAsia="zh-CN"/>
        </w:rPr>
        <w:t>.00</w:t>
      </w:r>
      <w:r>
        <w:rPr>
          <w:rFonts w:hint="default"/>
        </w:rPr>
        <w:t>万元，占0</w:t>
      </w:r>
      <w:r>
        <w:rPr>
          <w:rFonts w:hint="eastAsia"/>
          <w:lang w:val="en-US" w:eastAsia="zh-CN"/>
        </w:rPr>
        <w:t>.00</w:t>
      </w:r>
      <w:r>
        <w:rPr>
          <w:rFonts w:hint="default"/>
        </w:rPr>
        <w:t>%；公务用车购置及运行维护费支出0.9</w:t>
      </w:r>
      <w:r>
        <w:rPr>
          <w:rFonts w:hint="eastAsia"/>
          <w:lang w:val="en-US" w:eastAsia="zh-CN"/>
        </w:rPr>
        <w:t>0</w:t>
      </w:r>
      <w:r>
        <w:rPr>
          <w:rFonts w:hint="default"/>
        </w:rPr>
        <w:t>万元，占30.0</w:t>
      </w:r>
      <w:r>
        <w:rPr>
          <w:rFonts w:hint="eastAsia"/>
          <w:lang w:val="en-US" w:eastAsia="zh-CN"/>
        </w:rPr>
        <w:t>0</w:t>
      </w:r>
      <w:r>
        <w:rPr>
          <w:rFonts w:hint="default"/>
        </w:rPr>
        <w:t>%；公务接待费支出0.65万元，占21.67%。具体情况如下：</w:t>
      </w:r>
    </w:p>
    <w:p>
      <w:pPr>
        <w:pStyle w:val="11"/>
        <w:bidi w:val="0"/>
        <w:rPr>
          <w:rFonts w:hint="default"/>
        </w:rPr>
      </w:pPr>
      <w:r>
        <w:rPr>
          <w:rFonts w:hint="default"/>
        </w:rPr>
        <w:t>因公出国（境）费支出0</w:t>
      </w:r>
      <w:r>
        <w:rPr>
          <w:rFonts w:hint="eastAsia"/>
          <w:lang w:val="en-US" w:eastAsia="zh-CN"/>
        </w:rPr>
        <w:t>.00</w:t>
      </w:r>
      <w:r>
        <w:rPr>
          <w:rFonts w:hint="default"/>
        </w:rPr>
        <w:t>万元，共安排因公出国（境）团组0个，累计0人次。</w:t>
      </w:r>
    </w:p>
    <w:p>
      <w:pPr>
        <w:pStyle w:val="11"/>
        <w:bidi w:val="0"/>
        <w:rPr>
          <w:rFonts w:hint="default"/>
        </w:rPr>
      </w:pPr>
      <w:r>
        <w:rPr>
          <w:rFonts w:hint="default"/>
        </w:rPr>
        <w:t>公务用车购置及运行维护费支出0.9</w:t>
      </w:r>
      <w:r>
        <w:rPr>
          <w:rFonts w:hint="eastAsia"/>
          <w:lang w:val="en-US" w:eastAsia="zh-CN"/>
        </w:rPr>
        <w:t>0</w:t>
      </w:r>
      <w:r>
        <w:rPr>
          <w:rFonts w:hint="default"/>
        </w:rPr>
        <w:t>万元。其中：公务用车购置支出0</w:t>
      </w:r>
      <w:r>
        <w:rPr>
          <w:rFonts w:hint="eastAsia"/>
          <w:lang w:val="en-US" w:eastAsia="zh-CN"/>
        </w:rPr>
        <w:t>.00</w:t>
      </w:r>
      <w:r>
        <w:rPr>
          <w:rFonts w:hint="default"/>
        </w:rPr>
        <w:t>万元，购置车辆0辆。具体购置车辆原因、情况等。</w:t>
      </w:r>
    </w:p>
    <w:p>
      <w:pPr>
        <w:pStyle w:val="11"/>
        <w:bidi w:val="0"/>
        <w:rPr>
          <w:rFonts w:hint="default"/>
        </w:rPr>
      </w:pPr>
      <w:r>
        <w:rPr>
          <w:rFonts w:hint="default"/>
        </w:rPr>
        <w:t>公务用车运行维护支出0.9</w:t>
      </w:r>
      <w:r>
        <w:rPr>
          <w:rFonts w:hint="eastAsia"/>
          <w:lang w:val="en-US" w:eastAsia="zh-CN"/>
        </w:rPr>
        <w:t>0</w:t>
      </w:r>
      <w:r>
        <w:rPr>
          <w:rFonts w:hint="default"/>
        </w:rPr>
        <w:t>万元，主要用于业务所需车辆燃料费、维修费、过路过桥费、保险费等。</w:t>
      </w:r>
    </w:p>
    <w:p>
      <w:pPr>
        <w:pStyle w:val="11"/>
        <w:bidi w:val="0"/>
        <w:rPr>
          <w:rFonts w:hint="default"/>
        </w:rPr>
      </w:pPr>
      <w:r>
        <w:rPr>
          <w:rFonts w:hint="default"/>
        </w:rPr>
        <w:t>公务接待费支出0.65万元。其中：国内接待费支出0.65万元（其中：外事接待费支出0</w:t>
      </w:r>
      <w:r>
        <w:rPr>
          <w:rFonts w:hint="eastAsia"/>
          <w:lang w:val="en-US" w:eastAsia="zh-CN"/>
        </w:rPr>
        <w:t>.00</w:t>
      </w:r>
      <w:r>
        <w:rPr>
          <w:rFonts w:hint="default"/>
        </w:rPr>
        <w:t>万元），共安排国内公务接待21批次（其中：外事接待0批次），接待人次约143人（其中：外事接待人次0人）。</w:t>
      </w:r>
    </w:p>
    <w:p>
      <w:pPr>
        <w:pStyle w:val="11"/>
        <w:bidi w:val="0"/>
        <w:rPr>
          <w:rFonts w:hint="default"/>
        </w:rPr>
      </w:pPr>
      <w:r>
        <w:rPr>
          <w:rFonts w:hint="default"/>
        </w:rPr>
        <w:t>国（境）外接待费支出0</w:t>
      </w:r>
      <w:r>
        <w:rPr>
          <w:rFonts w:hint="eastAsia"/>
          <w:lang w:val="en-US" w:eastAsia="zh-CN"/>
        </w:rPr>
        <w:t>.00</w:t>
      </w:r>
      <w:r>
        <w:rPr>
          <w:rFonts w:hint="default"/>
        </w:rPr>
        <w:t>万元，共安排国（境）外公务接待0批次，接待人次0人。主要用于（相关工作，产生的接待批次及人次等）发生的接待支出。</w:t>
      </w:r>
    </w:p>
    <w:p>
      <w:pPr>
        <w:pStyle w:val="11"/>
        <w:bidi w:val="0"/>
        <w:rPr>
          <w:rFonts w:hint="default"/>
        </w:rPr>
      </w:pPr>
      <w:r>
        <w:rPr>
          <w:rFonts w:hint="default"/>
        </w:rPr>
        <w:t>（2）会议费支出情况：</w:t>
      </w:r>
    </w:p>
    <w:p>
      <w:pPr>
        <w:pStyle w:val="11"/>
        <w:bidi w:val="0"/>
        <w:rPr>
          <w:rFonts w:hint="default"/>
        </w:rPr>
      </w:pPr>
      <w:r>
        <w:rPr>
          <w:rFonts w:hint="default"/>
        </w:rPr>
        <w:t>2022年会议费支出0.13万元。</w:t>
      </w:r>
    </w:p>
    <w:p>
      <w:pPr>
        <w:pStyle w:val="11"/>
        <w:bidi w:val="0"/>
        <w:rPr>
          <w:rFonts w:hint="default"/>
        </w:rPr>
      </w:pPr>
      <w:r>
        <w:rPr>
          <w:rFonts w:hint="default"/>
        </w:rPr>
        <w:t>（3）培训费支出情况：</w:t>
      </w:r>
    </w:p>
    <w:p>
      <w:pPr>
        <w:pStyle w:val="11"/>
        <w:bidi w:val="0"/>
        <w:rPr>
          <w:rFonts w:hint="default"/>
        </w:rPr>
      </w:pPr>
      <w:r>
        <w:rPr>
          <w:rFonts w:hint="default"/>
        </w:rPr>
        <w:t>2022年培训费支出0.21万元。</w:t>
      </w:r>
    </w:p>
    <w:p>
      <w:pPr>
        <w:pStyle w:val="11"/>
        <w:bidi w:val="0"/>
        <w:rPr>
          <w:rFonts w:hint="default"/>
        </w:rPr>
      </w:pPr>
      <w:r>
        <w:rPr>
          <w:rFonts w:hint="default"/>
        </w:rPr>
        <w:t>（4）2022年机关运行经费支出42.07万元，比上年42.37万元减少0.3</w:t>
      </w:r>
      <w:r>
        <w:rPr>
          <w:rFonts w:hint="eastAsia"/>
          <w:lang w:val="en-US" w:eastAsia="zh-CN"/>
        </w:rPr>
        <w:t>0</w:t>
      </w:r>
      <w:r>
        <w:rPr>
          <w:rFonts w:hint="default"/>
        </w:rPr>
        <w:t>万元，主要原因分析：财政平台审核未通过，导致支出减少。</w:t>
      </w:r>
    </w:p>
    <w:p>
      <w:pPr>
        <w:pStyle w:val="14"/>
        <w:bidi w:val="0"/>
        <w:rPr>
          <w:rFonts w:hint="default"/>
        </w:rPr>
      </w:pPr>
      <w:r>
        <w:rPr>
          <w:rFonts w:hint="default"/>
        </w:rPr>
        <w:t>（一）一般公共预算财政拨款“三公”经费支出决算总体情况</w:t>
      </w:r>
    </w:p>
    <w:p>
      <w:pPr>
        <w:pStyle w:val="11"/>
        <w:bidi w:val="0"/>
        <w:rPr>
          <w:rFonts w:hint="default"/>
        </w:rPr>
      </w:pPr>
      <w:r>
        <w:rPr>
          <w:rFonts w:hint="default"/>
        </w:rPr>
        <w:t>通海县工业商贸和科技信息局2022年度一般公共预算财政拨款“三公”经费支出年初预算为30</w:t>
      </w:r>
      <w:r>
        <w:rPr>
          <w:rFonts w:hint="eastAsia"/>
          <w:lang w:eastAsia="zh-CN"/>
        </w:rPr>
        <w:t>，</w:t>
      </w:r>
      <w:r>
        <w:rPr>
          <w:rFonts w:hint="default"/>
        </w:rPr>
        <w:t>000.00元，支出决算为15,458.37元，完成年初预算的51.</w:t>
      </w:r>
      <w:r>
        <w:rPr>
          <w:rFonts w:hint="eastAsia"/>
          <w:lang w:val="en-US" w:eastAsia="zh-CN"/>
        </w:rPr>
        <w:t>53</w:t>
      </w:r>
      <w:r>
        <w:rPr>
          <w:rFonts w:hint="default"/>
        </w:rPr>
        <w:t>%。其中：因公出国（境）费支出决算为0.00元，完成年初预算的0.00%；公务用车购置费支出决算为0.00元，完成年初预算的0.00%；公务用车运行维护费支出决算为8,986.37元，完成年初预算的</w:t>
      </w:r>
      <w:r>
        <w:rPr>
          <w:rFonts w:hint="eastAsia"/>
          <w:lang w:val="en-US" w:eastAsia="zh-CN"/>
        </w:rPr>
        <w:t>44.93</w:t>
      </w:r>
      <w:r>
        <w:rPr>
          <w:rFonts w:hint="default"/>
        </w:rPr>
        <w:t>%；公务接待费支出决算为6,472.00元，完成年初预算的</w:t>
      </w:r>
      <w:r>
        <w:rPr>
          <w:rFonts w:hint="eastAsia"/>
          <w:lang w:val="en-US" w:eastAsia="zh-CN"/>
        </w:rPr>
        <w:t>64.72</w:t>
      </w:r>
      <w:r>
        <w:rPr>
          <w:rFonts w:hint="default"/>
        </w:rPr>
        <w:t>%。2022年度一般公共预算财政拨款“三公”经费支出决算数小于年初预算数的主要原因财政平台审核未通过，导致支出减少。</w:t>
      </w:r>
    </w:p>
    <w:p>
      <w:pPr>
        <w:pStyle w:val="11"/>
        <w:bidi w:val="0"/>
        <w:rPr>
          <w:rFonts w:hint="default"/>
        </w:rPr>
      </w:pPr>
      <w:r>
        <w:rPr>
          <w:rFonts w:hint="default"/>
        </w:rPr>
        <w:t>2022年度一般公共预算财政拨款“三公”经费支出决算数比上年减少13,046.48元，下降45.77%。其中：因公出国（境）费支出决算增加0.00元，增长0.00%；公务用车购置费支出决算增加0.00元，增长0.00%；公务用车运行维护费支出决算减少6,725.48元，下降42.81%；公务接待费支出决算减少6,321.00元，下降49.41%。2022年度一般公共预算财政拨款“三公”经费支出决算减少的主要原因是：财政平台审核未通过，导致支出减少。</w:t>
      </w:r>
    </w:p>
    <w:p>
      <w:pPr>
        <w:pStyle w:val="14"/>
        <w:bidi w:val="0"/>
        <w:rPr>
          <w:rFonts w:hint="default"/>
        </w:rPr>
      </w:pPr>
      <w:r>
        <w:rPr>
          <w:rFonts w:hint="default"/>
        </w:rPr>
        <w:t>（二）一般公共预算财政拨款“三公”经费支出实物量的具体情况</w:t>
      </w:r>
    </w:p>
    <w:p>
      <w:pPr>
        <w:pStyle w:val="11"/>
        <w:bidi w:val="0"/>
        <w:rPr>
          <w:rFonts w:hint="default"/>
        </w:rPr>
      </w:pPr>
      <w:r>
        <w:rPr>
          <w:rFonts w:hint="default"/>
        </w:rPr>
        <w:t>1.安排因公出国（境）团组0个，累计0人次。</w:t>
      </w:r>
    </w:p>
    <w:p>
      <w:pPr>
        <w:pStyle w:val="11"/>
        <w:bidi w:val="0"/>
        <w:rPr>
          <w:rFonts w:hint="default"/>
        </w:rPr>
      </w:pPr>
      <w:r>
        <w:rPr>
          <w:rFonts w:hint="default"/>
        </w:rPr>
        <w:t>2.购置车辆0辆。开支一般公共预算财政拨款的公务用车保有量为1辆。主要用于公务车所需车辆燃料费、维修费、过路过桥费、保险费等。</w:t>
      </w:r>
    </w:p>
    <w:p>
      <w:pPr>
        <w:pStyle w:val="11"/>
        <w:bidi w:val="0"/>
        <w:rPr>
          <w:rFonts w:hint="default"/>
        </w:rPr>
      </w:pPr>
      <w:r>
        <w:rPr>
          <w:rFonts w:hint="default"/>
        </w:rPr>
        <w:t>3.安排国内公务接待21批次（其中：外事接待0批次），接待人次143人（其中：外事接待人次0人）。主要用于接待上级单位到我局调研等工作发生的接待支出。安排国（境）外公务接待0批次，接待人次0人。</w:t>
      </w:r>
    </w:p>
    <w:p>
      <w:pPr>
        <w:pStyle w:val="11"/>
        <w:bidi w:val="0"/>
        <w:ind w:left="0" w:leftChars="0" w:firstLine="0" w:firstLineChars="0"/>
        <w:rPr>
          <w:rFonts w:hint="default"/>
        </w:rPr>
      </w:pPr>
    </w:p>
    <w:p>
      <w:pPr>
        <w:pStyle w:val="10"/>
        <w:bidi w:val="0"/>
        <w:rPr>
          <w:rFonts w:hint="default"/>
        </w:rPr>
      </w:pPr>
      <w:r>
        <w:rPr>
          <w:rFonts w:hint="default"/>
        </w:rPr>
        <w:t>第四部分</w:t>
      </w:r>
      <w:r>
        <w:rPr>
          <w:rFonts w:hint="eastAsia"/>
          <w:lang w:val="en-US" w:eastAsia="zh-CN"/>
        </w:rPr>
        <w:t xml:space="preserve"> </w:t>
      </w:r>
      <w:r>
        <w:rPr>
          <w:rFonts w:hint="default"/>
        </w:rPr>
        <w:t>其他重要事项及相关口径情况说明</w:t>
      </w:r>
    </w:p>
    <w:p>
      <w:pPr>
        <w:pStyle w:val="12"/>
        <w:bidi w:val="0"/>
        <w:rPr>
          <w:rFonts w:hint="default"/>
        </w:rPr>
      </w:pPr>
      <w:r>
        <w:rPr>
          <w:rFonts w:hint="default"/>
        </w:rPr>
        <w:t>一、机关运行经费支出情况</w:t>
      </w:r>
    </w:p>
    <w:p>
      <w:pPr>
        <w:pStyle w:val="11"/>
        <w:bidi w:val="0"/>
        <w:rPr>
          <w:rFonts w:hint="default"/>
        </w:rPr>
      </w:pPr>
      <w:r>
        <w:rPr>
          <w:rFonts w:hint="default"/>
        </w:rPr>
        <w:t>通海县工业商贸和科技信息局2022年机关运行经费支出420,659.52元，减少4,870.28元，下降1.14%，主要原因分析：财政平台审核未通过，导致支出减少。</w:t>
      </w:r>
    </w:p>
    <w:p>
      <w:pPr>
        <w:pStyle w:val="12"/>
        <w:bidi w:val="0"/>
        <w:rPr>
          <w:rFonts w:hint="default"/>
        </w:rPr>
      </w:pPr>
      <w:r>
        <w:rPr>
          <w:rFonts w:hint="default"/>
        </w:rPr>
        <w:t>二、国有资产占用情况</w:t>
      </w:r>
    </w:p>
    <w:p>
      <w:pPr>
        <w:pStyle w:val="11"/>
        <w:bidi w:val="0"/>
        <w:rPr>
          <w:rFonts w:hint="default"/>
        </w:rPr>
      </w:pPr>
      <w:r>
        <w:rPr>
          <w:rFonts w:hint="default"/>
        </w:rPr>
        <w:t>截至2022年12月31日，通海县工业商贸和科技信息局资产总额9,188,839.05元，其中，流动资产8,857,418.65元，固定资产323,627.62元，对外投资及有价证券0.00元，在建工程0.00元，无形资产7,792.78元，其他资产0.00元（具体内容详见附表）。与上年相比，本年资产总额减少92</w:t>
      </w:r>
      <w:r>
        <w:rPr>
          <w:rFonts w:hint="eastAsia"/>
          <w:lang w:eastAsia="zh-CN"/>
        </w:rPr>
        <w:t>，</w:t>
      </w:r>
      <w:r>
        <w:rPr>
          <w:rFonts w:hint="default"/>
        </w:rPr>
        <w:t>891.95元，其中非流动资产减少，即固定资产折旧摊销后减少。</w:t>
      </w:r>
    </w:p>
    <w:p>
      <w:pPr>
        <w:pStyle w:val="11"/>
        <w:bidi w:val="0"/>
        <w:rPr>
          <w:rFonts w:hint="default"/>
        </w:rPr>
      </w:pPr>
      <w:r>
        <w:rPr>
          <w:rFonts w:hint="default"/>
        </w:rPr>
        <w:t>处置房屋建筑物0</w:t>
      </w:r>
      <w:r>
        <w:rPr>
          <w:rFonts w:hint="eastAsia"/>
          <w:lang w:val="en-US" w:eastAsia="zh-CN"/>
        </w:rPr>
        <w:t>.00</w:t>
      </w:r>
      <w:r>
        <w:rPr>
          <w:rFonts w:hint="default"/>
        </w:rPr>
        <w:t>平方米，账面原值0.00元；处置车辆0辆，账面原值0.00元；报废报损资产0项，账面原值0.00元，实现资产处置收入0.00元；出租房屋0</w:t>
      </w:r>
      <w:r>
        <w:rPr>
          <w:rFonts w:hint="eastAsia"/>
          <w:lang w:val="en-US" w:eastAsia="zh-CN"/>
        </w:rPr>
        <w:t>.00</w:t>
      </w:r>
      <w:r>
        <w:rPr>
          <w:rFonts w:hint="default"/>
        </w:rPr>
        <w:t>平方米，账面原值0.00元，实现资产使用收入0.00元。（国有资产占有使用情况表详见附表）</w:t>
      </w:r>
    </w:p>
    <w:p>
      <w:pPr>
        <w:pStyle w:val="12"/>
        <w:bidi w:val="0"/>
        <w:rPr>
          <w:rFonts w:hint="default"/>
        </w:rPr>
      </w:pPr>
      <w:r>
        <w:rPr>
          <w:rFonts w:hint="default"/>
        </w:rPr>
        <w:t>三、政府采购支出情况</w:t>
      </w:r>
    </w:p>
    <w:p>
      <w:pPr>
        <w:pStyle w:val="11"/>
        <w:bidi w:val="0"/>
        <w:rPr>
          <w:rFonts w:hint="default"/>
        </w:rPr>
      </w:pPr>
      <w:r>
        <w:rPr>
          <w:rFonts w:hint="default"/>
        </w:rPr>
        <w:t>2022年度，部门政府采购支出总额0.00元，其中：政府采购货物支出0.00元；政府采购工程支出0.00元；政府采购服务支出0.00元。授予中小企业合同金额0.00元，占政府采购支出总额的0.00%。</w:t>
      </w:r>
    </w:p>
    <w:p>
      <w:pPr>
        <w:pStyle w:val="12"/>
        <w:bidi w:val="0"/>
        <w:rPr>
          <w:rFonts w:hint="default"/>
        </w:rPr>
      </w:pPr>
      <w:r>
        <w:rPr>
          <w:rFonts w:hint="default"/>
        </w:rPr>
        <w:t>四、部门绩效自评情况</w:t>
      </w:r>
    </w:p>
    <w:p>
      <w:pPr>
        <w:pStyle w:val="11"/>
        <w:bidi w:val="0"/>
        <w:rPr>
          <w:rFonts w:hint="default"/>
        </w:rPr>
      </w:pPr>
      <w:r>
        <w:rPr>
          <w:rFonts w:hint="default"/>
        </w:rPr>
        <w:t>部门绩效自评情况详见附表。</w:t>
      </w:r>
    </w:p>
    <w:p>
      <w:pPr>
        <w:pStyle w:val="12"/>
        <w:bidi w:val="0"/>
        <w:rPr>
          <w:rFonts w:hint="default"/>
        </w:rPr>
      </w:pPr>
      <w:r>
        <w:rPr>
          <w:rFonts w:hint="default"/>
        </w:rPr>
        <w:t>五、其他重要事项情况说明</w:t>
      </w:r>
    </w:p>
    <w:p>
      <w:pPr>
        <w:pStyle w:val="11"/>
        <w:bidi w:val="0"/>
        <w:rPr>
          <w:rFonts w:hint="default"/>
        </w:rPr>
      </w:pPr>
      <w:r>
        <w:rPr>
          <w:rFonts w:hint="default"/>
        </w:rPr>
        <w:t>无</w:t>
      </w:r>
    </w:p>
    <w:p>
      <w:pPr>
        <w:pStyle w:val="12"/>
        <w:bidi w:val="0"/>
        <w:rPr>
          <w:rFonts w:hint="default"/>
        </w:rPr>
      </w:pPr>
      <w:r>
        <w:rPr>
          <w:rFonts w:hint="default"/>
        </w:rPr>
        <w:t>六、相关口径说明</w:t>
      </w:r>
    </w:p>
    <w:p>
      <w:pPr>
        <w:pStyle w:val="11"/>
        <w:bidi w:val="0"/>
        <w:rPr>
          <w:rFonts w:hint="default"/>
        </w:rPr>
      </w:pPr>
      <w:r>
        <w:rPr>
          <w:rFonts w:hint="default"/>
        </w:rPr>
        <w:t>（一）基本支出中人员经费包括工资福利支出和对个人和家庭的补助，公用经费包括商品和服务支出、资本性支出等人员经费以外的支出。</w:t>
      </w:r>
    </w:p>
    <w:p>
      <w:pPr>
        <w:pStyle w:val="11"/>
        <w:bidi w:val="0"/>
        <w:rPr>
          <w:rFonts w:hint="default"/>
        </w:rPr>
      </w:pPr>
      <w:r>
        <w:rPr>
          <w:rFonts w:hint="default"/>
        </w:rPr>
        <w:t>（二）机关运行经费指行政单位和参照公务员法管理的事业单位使用财政拨款安排的基本支出中的公用经费支出。</w:t>
      </w:r>
    </w:p>
    <w:p>
      <w:pPr>
        <w:pStyle w:val="11"/>
        <w:bidi w:val="0"/>
        <w:rPr>
          <w:rFonts w:hint="default"/>
        </w:rPr>
      </w:pPr>
      <w:r>
        <w:rPr>
          <w:rFonts w:hint="default"/>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11"/>
        <w:bidi w:val="0"/>
        <w:rPr>
          <w:rFonts w:hint="default"/>
        </w:rPr>
      </w:pPr>
      <w:r>
        <w:rPr>
          <w:rFonts w:hint="default"/>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11"/>
        <w:bidi w:val="0"/>
        <w:ind w:left="0" w:leftChars="0" w:firstLine="0" w:firstLineChars="0"/>
        <w:rPr>
          <w:rFonts w:hint="default"/>
        </w:rPr>
      </w:pPr>
    </w:p>
    <w:p>
      <w:pPr>
        <w:pStyle w:val="10"/>
        <w:bidi w:val="0"/>
        <w:rPr>
          <w:rFonts w:hint="default"/>
        </w:rPr>
      </w:pPr>
      <w:r>
        <w:rPr>
          <w:rFonts w:hint="default"/>
        </w:rPr>
        <w:t>第五部分</w:t>
      </w:r>
      <w:r>
        <w:rPr>
          <w:rFonts w:hint="eastAsia"/>
          <w:lang w:val="en-US" w:eastAsia="zh-CN"/>
        </w:rPr>
        <w:t xml:space="preserve"> </w:t>
      </w:r>
      <w:r>
        <w:rPr>
          <w:rFonts w:hint="default"/>
        </w:rPr>
        <w:t>名词解释</w:t>
      </w:r>
    </w:p>
    <w:p>
      <w:pPr>
        <w:pStyle w:val="11"/>
        <w:bidi w:val="0"/>
        <w:rPr>
          <w:rFonts w:hint="default"/>
        </w:rPr>
      </w:pPr>
      <w:r>
        <w:rPr>
          <w:rFonts w:hint="default"/>
        </w:rPr>
        <w:t>部门决算：各部门依据国家有关法律法规规定及其履行职能情况编制，反映部门所</w:t>
      </w:r>
      <w:r>
        <w:rPr>
          <w:rFonts w:hint="eastAsia"/>
          <w:lang w:eastAsia="zh-CN"/>
        </w:rPr>
        <w:t>有</w:t>
      </w:r>
      <w:bookmarkStart w:id="0" w:name="_GoBack"/>
      <w:bookmarkEnd w:id="0"/>
      <w:r>
        <w:rPr>
          <w:rFonts w:hint="default"/>
        </w:rPr>
        <w:t>预算收支和结余执行结果及绩效等情况的综合性年度报告，是改进部门预算执行以及编制后续年度部门预算的参考和依据。</w:t>
      </w:r>
    </w:p>
    <w:p>
      <w:pPr>
        <w:pStyle w:val="11"/>
        <w:bidi w:val="0"/>
        <w:rPr>
          <w:rFonts w:hint="default"/>
        </w:rPr>
      </w:pPr>
      <w:r>
        <w:rPr>
          <w:rFonts w:hint="default"/>
        </w:rPr>
        <w:t>政府采购：是指各级国家机关、事业单位和团体组织，使用财政性资金采购依法制定的集中采购目录以内的或者采购限额标准以上的货物、工程和服务的行为。</w:t>
      </w:r>
    </w:p>
    <w:p>
      <w:pPr>
        <w:pStyle w:val="11"/>
        <w:bidi w:val="0"/>
        <w:rPr>
          <w:rFonts w:hint="default"/>
        </w:rPr>
      </w:pPr>
      <w:r>
        <w:rPr>
          <w:rFonts w:hint="default"/>
        </w:rPr>
        <w:t>二、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11"/>
        <w:bidi w:val="0"/>
        <w:rPr>
          <w:rFonts w:hint="default"/>
        </w:rPr>
      </w:pPr>
      <w:r>
        <w:rPr>
          <w:rFonts w:hint="default"/>
        </w:rPr>
        <w:t>三、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务、住房保障支出等。</w:t>
      </w:r>
    </w:p>
    <w:p>
      <w:pPr>
        <w:pStyle w:val="11"/>
        <w:bidi w:val="0"/>
        <w:rPr>
          <w:rFonts w:hint="default"/>
        </w:rPr>
      </w:pPr>
      <w:r>
        <w:rPr>
          <w:rFonts w:hint="default"/>
        </w:rPr>
        <w:t>四、“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hint="default"/>
        </w:rPr>
      </w:pPr>
    </w:p>
    <w:p>
      <w:pPr>
        <w:pStyle w:val="13"/>
        <w:bidi w:val="0"/>
        <w:rPr>
          <w:rFonts w:hint="default"/>
        </w:rPr>
      </w:pPr>
      <w:r>
        <w:rPr>
          <w:rFonts w:hint="default"/>
        </w:rPr>
        <w:t>监督索引号5304230054810111</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3143F"/>
    <w:multiLevelType w:val="singleLevel"/>
    <w:tmpl w:val="D9F3143F"/>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611DA"/>
    <w:rsid w:val="06386F32"/>
    <w:rsid w:val="07AE2234"/>
    <w:rsid w:val="0A470296"/>
    <w:rsid w:val="107C2956"/>
    <w:rsid w:val="18E4721E"/>
    <w:rsid w:val="240A061A"/>
    <w:rsid w:val="2A540D0F"/>
    <w:rsid w:val="34DD7319"/>
    <w:rsid w:val="3CCB4C0C"/>
    <w:rsid w:val="3EFD753C"/>
    <w:rsid w:val="3F383EE2"/>
    <w:rsid w:val="4C1A2037"/>
    <w:rsid w:val="5350234D"/>
    <w:rsid w:val="5A414A89"/>
    <w:rsid w:val="60E611DA"/>
    <w:rsid w:val="6395557B"/>
    <w:rsid w:val="6F306E6C"/>
    <w:rsid w:val="72836FDD"/>
    <w:rsid w:val="72971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spacing w:before="340" w:beforeLines="0" w:beforeAutospacing="0" w:after="330" w:afterLines="0" w:afterAutospacing="0" w:line="576" w:lineRule="auto"/>
      <w:outlineLvl w:val="0"/>
    </w:pPr>
    <w:rPr>
      <w:rFonts w:ascii="Calibri" w:hAnsi="Calibri" w:eastAsia="宋体"/>
      <w:b/>
      <w:kern w:val="44"/>
      <w:sz w:val="44"/>
    </w:rPr>
  </w:style>
  <w:style w:type="character" w:default="1" w:styleId="8">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semiHidden/>
    <w:qFormat/>
    <w:uiPriority w:val="0"/>
    <w:rPr>
      <w:rFonts w:ascii="楷体" w:hAnsi="楷体" w:eastAsia="楷体" w:cs="楷体"/>
      <w:sz w:val="30"/>
      <w:szCs w:val="30"/>
      <w:lang w:val="en-US" w:eastAsia="en-US" w:bidi="ar-SA"/>
    </w:rPr>
  </w:style>
  <w:style w:type="paragraph" w:styleId="5">
    <w:name w:val="Plain Text"/>
    <w:basedOn w:val="1"/>
    <w:uiPriority w:val="0"/>
    <w:rPr>
      <w:rFonts w:ascii="宋体" w:hAnsi="Courier New"/>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题目&amp;目录&amp;一级标题"/>
    <w:next w:val="11"/>
    <w:uiPriority w:val="0"/>
    <w:pPr>
      <w:widowControl/>
      <w:shd w:val="clear" w:color="auto" w:fill="FFFFFF"/>
      <w:spacing w:before="75" w:line="585" w:lineRule="atLeast"/>
      <w:jc w:val="center"/>
    </w:pPr>
    <w:rPr>
      <w:rFonts w:ascii="方正小标宋_GBK" w:hAnsi="方正小标宋_GBK" w:eastAsia="方正小标宋_GBK" w:cs="方正小标宋_GBK"/>
      <w:color w:val="000000"/>
      <w:kern w:val="0"/>
      <w:sz w:val="36"/>
      <w:szCs w:val="36"/>
      <w:shd w:val="clear" w:color="auto" w:fill="FFFFFF"/>
      <w:lang w:bidi="ar"/>
    </w:rPr>
  </w:style>
  <w:style w:type="paragraph" w:customStyle="1" w:styleId="11">
    <w:name w:val="新正文"/>
    <w:uiPriority w:val="0"/>
    <w:pPr>
      <w:widowControl w:val="0"/>
      <w:shd w:val="clear" w:color="auto" w:fill="FFFFFF"/>
      <w:spacing w:before="75" w:line="585" w:lineRule="atLeast"/>
      <w:ind w:firstLine="601"/>
      <w:jc w:val="both"/>
    </w:pPr>
    <w:rPr>
      <w:rFonts w:hint="eastAsia" w:ascii="仿宋_GB2312" w:hAnsi="仿宋_GB2312" w:eastAsia="仿宋_GB2312" w:cs="仿宋_GB2312"/>
      <w:color w:val="000000"/>
      <w:kern w:val="0"/>
      <w:sz w:val="30"/>
      <w:szCs w:val="30"/>
      <w:shd w:val="clear" w:color="auto" w:fill="FFFFFF"/>
      <w:lang w:bidi="ar"/>
    </w:rPr>
  </w:style>
  <w:style w:type="paragraph" w:customStyle="1" w:styleId="12">
    <w:name w:val="二级标题"/>
    <w:next w:val="11"/>
    <w:uiPriority w:val="0"/>
    <w:pPr>
      <w:widowControl/>
      <w:shd w:val="clear" w:color="auto" w:fill="FFFFFF"/>
      <w:spacing w:before="75" w:line="585" w:lineRule="atLeast"/>
      <w:ind w:firstLine="600"/>
    </w:pPr>
    <w:rPr>
      <w:rFonts w:hint="eastAsia" w:ascii="黑体" w:hAnsi="黑体" w:eastAsia="黑体" w:cs="黑体"/>
      <w:color w:val="000000"/>
      <w:kern w:val="0"/>
      <w:sz w:val="30"/>
      <w:szCs w:val="30"/>
      <w:shd w:val="clear" w:color="auto" w:fill="FFFFFF"/>
      <w:lang w:bidi="ar"/>
    </w:rPr>
  </w:style>
  <w:style w:type="paragraph" w:customStyle="1" w:styleId="13">
    <w:name w:val="索引号"/>
    <w:next w:val="11"/>
    <w:uiPriority w:val="0"/>
    <w:pPr>
      <w:widowControl/>
      <w:shd w:val="clear" w:color="auto" w:fill="FFFFFF"/>
      <w:spacing w:before="75" w:line="450" w:lineRule="atLeast"/>
      <w:jc w:val="left"/>
    </w:pPr>
    <w:rPr>
      <w:rFonts w:ascii="Arial" w:hAnsi="Arial" w:eastAsia="微软雅黑" w:cs="Arial"/>
      <w:color w:val="000000"/>
      <w:kern w:val="0"/>
      <w:sz w:val="36"/>
      <w:szCs w:val="36"/>
      <w:shd w:val="clear" w:color="auto" w:fill="FFFFFF"/>
      <w:lang w:bidi="ar"/>
    </w:rPr>
  </w:style>
  <w:style w:type="paragraph" w:customStyle="1" w:styleId="14">
    <w:name w:val="三级标题"/>
    <w:next w:val="11"/>
    <w:uiPriority w:val="0"/>
    <w:pPr>
      <w:widowControl/>
      <w:shd w:val="clear" w:color="auto" w:fill="FFFFFF"/>
      <w:spacing w:before="75" w:line="585" w:lineRule="atLeast"/>
      <w:ind w:firstLine="600"/>
    </w:pPr>
    <w:rPr>
      <w:rFonts w:hint="eastAsia" w:ascii="楷体" w:hAnsi="楷体" w:eastAsia="楷体" w:cs="楷体"/>
      <w:color w:val="000000"/>
      <w:kern w:val="0"/>
      <w:sz w:val="30"/>
      <w:szCs w:val="30"/>
      <w:shd w:val="clear" w:color="auto" w:fill="FFFFFF"/>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32467;&#31639;&#25253;&#21578;.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结算报告.wpt</Template>
  <Company>玉溪市通海县党政机关单位</Company>
  <Pages>16</Pages>
  <Words>7115</Words>
  <Characters>8299</Characters>
  <Lines>0</Lines>
  <Paragraphs>0</Paragraphs>
  <TotalTime>113</TotalTime>
  <ScaleCrop>false</ScaleCrop>
  <LinksUpToDate>false</LinksUpToDate>
  <CharactersWithSpaces>8319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2023-11-09T02:49:00Z</dcterms:created>
  <dc:creator>李文杰</dc:creator>
  <cp:lastModifiedBy>李文杰</cp:lastModifiedBy>
  <dcterms:modified xsi:type="dcterms:W3CDTF">2023-11-09T07:21:32Z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