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监督索引号53042300328601000</w:t>
      </w:r>
    </w:p>
    <w:p>
      <w:pPr>
        <w:keepNext w:val="0"/>
        <w:keepLines w:val="0"/>
        <w:widowControl/>
        <w:suppressLineNumbers w:val="0"/>
        <w:snapToGrid w:val="0"/>
        <w:spacing w:before="0" w:beforeAutospacing="0" w:after="0" w:afterAutospacing="0" w:line="590" w:lineRule="atLeast"/>
        <w:ind w:left="0" w:right="0"/>
        <w:jc w:val="center"/>
        <w:rPr>
          <w:rFonts w:hint="default" w:ascii="Times New Roman" w:hAnsi="Times New Roman" w:eastAsia="宋体" w:cs="Times New Roman"/>
          <w:kern w:val="0"/>
          <w:sz w:val="24"/>
          <w:szCs w:val="24"/>
        </w:rPr>
      </w:pPr>
      <w:r>
        <w:rPr>
          <w:rFonts w:hint="default" w:ascii="Times New Roman" w:hAnsi="Times New Roman" w:eastAsia="方正小标宋简体" w:cs="Times New Roman"/>
          <w:kern w:val="0"/>
          <w:sz w:val="36"/>
          <w:szCs w:val="36"/>
          <w:lang w:val="en-US" w:eastAsia="zh-CN" w:bidi="ar"/>
        </w:rPr>
        <w:t>中国共产党通海县委员会县直机关工作委员会202</w:t>
      </w:r>
      <w:r>
        <w:rPr>
          <w:rFonts w:hint="default" w:ascii="Times New Roman" w:hAnsi="Times New Roman" w:eastAsia="宋体" w:cs="Times New Roman"/>
          <w:kern w:val="0"/>
          <w:sz w:val="36"/>
          <w:szCs w:val="36"/>
          <w:lang w:val="en-US" w:eastAsia="zh-CN" w:bidi="ar"/>
        </w:rPr>
        <w:t>2</w:t>
      </w:r>
      <w:r>
        <w:rPr>
          <w:rFonts w:hint="default" w:ascii="Times New Roman" w:hAnsi="Times New Roman" w:eastAsia="方正小标宋简体" w:cs="Times New Roman"/>
          <w:kern w:val="0"/>
          <w:sz w:val="36"/>
          <w:szCs w:val="36"/>
          <w:lang w:val="en-US" w:eastAsia="zh-CN" w:bidi="ar"/>
        </w:rPr>
        <w:t>年度部门决算</w:t>
      </w:r>
    </w:p>
    <w:p>
      <w:pPr>
        <w:keepNext w:val="0"/>
        <w:keepLines w:val="0"/>
        <w:widowControl/>
        <w:suppressLineNumbers w:val="0"/>
        <w:snapToGrid w:val="0"/>
        <w:spacing w:before="0" w:beforeAutospacing="0" w:after="0" w:afterAutospacing="0" w:line="590" w:lineRule="atLeast"/>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6"/>
          <w:szCs w:val="36"/>
          <w:lang w:val="en-US" w:eastAsia="zh-CN" w:bidi="ar"/>
        </w:rPr>
        <w:t xml:space="preserve"> </w:t>
      </w:r>
    </w:p>
    <w:p>
      <w:pPr>
        <w:keepNext w:val="0"/>
        <w:keepLines w:val="0"/>
        <w:widowControl/>
        <w:suppressLineNumbers w:val="0"/>
        <w:snapToGrid w:val="0"/>
        <w:spacing w:before="0" w:beforeAutospacing="0" w:after="0" w:afterAutospacing="0" w:line="590" w:lineRule="atLeast"/>
        <w:ind w:left="0" w:right="0"/>
        <w:jc w:val="center"/>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6"/>
          <w:szCs w:val="36"/>
          <w:lang w:val="en-US" w:eastAsia="zh-CN" w:bidi="ar"/>
        </w:rPr>
        <w:t>目录</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第一部分  中国共产党通海县委员会县直机关工作委员会概况</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一、主要职能</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二、部门基本情况</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第二部分  202</w:t>
      </w:r>
      <w:r>
        <w:rPr>
          <w:rFonts w:hint="default" w:ascii="Times New Roman" w:hAnsi="Times New Roman" w:eastAsia="宋体" w:cs="Times New Roman"/>
          <w:kern w:val="0"/>
          <w:sz w:val="30"/>
          <w:szCs w:val="30"/>
          <w:lang w:val="en-US" w:eastAsia="zh-CN" w:bidi="ar"/>
        </w:rPr>
        <w:t>2</w:t>
      </w:r>
      <w:r>
        <w:rPr>
          <w:rFonts w:hint="default" w:ascii="Times New Roman" w:hAnsi="Times New Roman" w:eastAsia="方正黑体" w:cs="Times New Roman"/>
          <w:kern w:val="0"/>
          <w:sz w:val="30"/>
          <w:szCs w:val="30"/>
          <w:lang w:val="en-US" w:eastAsia="zh-CN" w:bidi="ar"/>
        </w:rPr>
        <w:t>年度部门决算表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一、收入支出决算表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二、收入决算表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三、支出决算表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四、财政拨款收入支出决算表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五、一般公共预算财政拨款收入支出决算表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六、一般公共预算财政拨款基本支出决算表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七、一般公共预算财政拨款项目支出决算表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八、政府性基金预算财政拨款收入支出决算表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九、国有资本经营预算财政拨款收入支出决算表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十、</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三公</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经费、行政参公单位机关运行经费情况表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第三部分  202</w:t>
      </w:r>
      <w:r>
        <w:rPr>
          <w:rFonts w:hint="default" w:ascii="Times New Roman" w:hAnsi="Times New Roman" w:eastAsia="宋体" w:cs="Times New Roman"/>
          <w:kern w:val="0"/>
          <w:sz w:val="30"/>
          <w:szCs w:val="30"/>
          <w:lang w:val="en-US" w:eastAsia="zh-CN" w:bidi="ar"/>
        </w:rPr>
        <w:t>2</w:t>
      </w:r>
      <w:r>
        <w:rPr>
          <w:rFonts w:hint="default" w:ascii="Times New Roman" w:hAnsi="Times New Roman" w:eastAsia="方正黑体" w:cs="Times New Roman"/>
          <w:kern w:val="0"/>
          <w:sz w:val="30"/>
          <w:szCs w:val="30"/>
          <w:lang w:val="en-US" w:eastAsia="zh-CN" w:bidi="ar"/>
        </w:rPr>
        <w:t>年度部门决算情况说明</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一、收入决算情况说明</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二、支出决算情况说明</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三、一般公共预算财政拨款支出决算情况说明</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四、财政拨款</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三公</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经费支出决算情况说明</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第四部分  其他重要事项及相关口径情况说明</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一、机关运行经费支出情况</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二、国有资产占用情况</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三、政府采购支出情况</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四、部门绩效自评情况</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（一）部门整体支出绩效自评情况</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（二）部门整体支出绩效自评表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（三）项目支出绩效自评表</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五、其他重要事项情况说明</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六、相关口径说明</w:t>
      </w:r>
    </w:p>
    <w:p>
      <w:pPr>
        <w:keepNext w:val="0"/>
        <w:keepLines w:val="0"/>
        <w:widowControl/>
        <w:suppressLineNumbers w:val="0"/>
        <w:snapToGrid w:val="0"/>
        <w:spacing w:before="0" w:beforeAutospacing="0" w:after="0" w:afterAutospacing="0" w:line="59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第五部分  名词解释</w:t>
      </w:r>
    </w:p>
    <w:p>
      <w:pPr>
        <w:keepNext w:val="0"/>
        <w:keepLines w:val="0"/>
        <w:widowControl/>
        <w:suppressLineNumbers w:val="0"/>
        <w:snapToGrid w:val="0"/>
        <w:spacing w:before="0" w:beforeAutospacing="0" w:after="0" w:afterAutospacing="0" w:line="60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0"/>
          <w:szCs w:val="30"/>
          <w:lang w:val="en-US" w:eastAsia="zh-CN" w:bidi="ar"/>
        </w:rPr>
        <w:t xml:space="preserve"> </w:t>
      </w:r>
    </w:p>
    <w:p>
      <w:pPr>
        <w:keepNext w:val="0"/>
        <w:keepLines w:val="0"/>
        <w:widowControl/>
        <w:suppressLineNumbers w:val="0"/>
        <w:snapToGrid w:val="0"/>
        <w:spacing w:before="0" w:beforeAutospacing="0" w:after="0" w:afterAutospacing="0" w:line="60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0"/>
          <w:szCs w:val="30"/>
          <w:lang w:val="en-US" w:eastAsia="zh-CN" w:bidi="ar"/>
        </w:rPr>
        <w:t xml:space="preserve"> </w:t>
      </w:r>
    </w:p>
    <w:p>
      <w:pPr>
        <w:keepNext w:val="0"/>
        <w:keepLines w:val="0"/>
        <w:widowControl/>
        <w:suppressLineNumbers w:val="0"/>
        <w:snapToGrid w:val="0"/>
        <w:spacing w:before="0" w:beforeAutospacing="0" w:after="0" w:afterAutospacing="0" w:line="600" w:lineRule="atLeast"/>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0"/>
          <w:szCs w:val="30"/>
          <w:lang w:val="en-US" w:eastAsia="zh-CN" w:bidi="ar"/>
        </w:rPr>
        <w:t xml:space="preserve"> </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both"/>
        <w:textAlignment w:val="auto"/>
        <w:rPr>
          <w:rFonts w:hint="default" w:ascii="Times New Roman" w:hAnsi="Times New Roman" w:eastAsia="方正黑体" w:cs="Times New Roman"/>
          <w:kern w:val="0"/>
          <w:sz w:val="32"/>
          <w:szCs w:val="32"/>
          <w:lang w:val="en-US" w:eastAsia="zh-CN" w:bidi="ar"/>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both"/>
        <w:textAlignment w:val="auto"/>
        <w:rPr>
          <w:rFonts w:hint="default" w:ascii="Times New Roman" w:hAnsi="Times New Roman" w:eastAsia="方正黑体" w:cs="Times New Roman"/>
          <w:kern w:val="0"/>
          <w:sz w:val="32"/>
          <w:szCs w:val="32"/>
          <w:lang w:val="en-US" w:eastAsia="zh-CN" w:bidi="ar"/>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both"/>
        <w:textAlignment w:val="auto"/>
        <w:rPr>
          <w:rFonts w:hint="default" w:ascii="Times New Roman" w:hAnsi="Times New Roman" w:eastAsia="方正黑体" w:cs="Times New Roman"/>
          <w:kern w:val="0"/>
          <w:sz w:val="32"/>
          <w:szCs w:val="32"/>
          <w:lang w:val="en-US" w:eastAsia="zh-CN" w:bidi="ar"/>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both"/>
        <w:textAlignment w:val="auto"/>
        <w:rPr>
          <w:rFonts w:hint="default" w:ascii="Times New Roman" w:hAnsi="Times New Roman" w:eastAsia="方正黑体" w:cs="Times New Roman"/>
          <w:kern w:val="0"/>
          <w:sz w:val="32"/>
          <w:szCs w:val="32"/>
          <w:lang w:val="en-US" w:eastAsia="zh-CN" w:bidi="ar"/>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both"/>
        <w:textAlignment w:val="auto"/>
        <w:rPr>
          <w:rFonts w:hint="default" w:ascii="Times New Roman" w:hAnsi="Times New Roman" w:eastAsia="方正黑体" w:cs="Times New Roman"/>
          <w:kern w:val="0"/>
          <w:sz w:val="32"/>
          <w:szCs w:val="32"/>
          <w:lang w:val="en-US" w:eastAsia="zh-CN" w:bidi="ar"/>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both"/>
        <w:textAlignment w:val="auto"/>
        <w:rPr>
          <w:rFonts w:hint="default" w:ascii="Times New Roman" w:hAnsi="Times New Roman" w:eastAsia="方正黑体" w:cs="Times New Roman"/>
          <w:kern w:val="0"/>
          <w:sz w:val="32"/>
          <w:szCs w:val="32"/>
          <w:lang w:val="en-US" w:eastAsia="zh-CN" w:bidi="ar"/>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both"/>
        <w:textAlignment w:val="auto"/>
        <w:rPr>
          <w:rFonts w:hint="default" w:ascii="Times New Roman" w:hAnsi="Times New Roman" w:eastAsia="方正黑体" w:cs="Times New Roman"/>
          <w:kern w:val="0"/>
          <w:sz w:val="32"/>
          <w:szCs w:val="32"/>
          <w:lang w:val="en-US" w:eastAsia="zh-CN" w:bidi="ar"/>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both"/>
        <w:textAlignment w:val="auto"/>
        <w:rPr>
          <w:rFonts w:hint="default" w:ascii="Times New Roman" w:hAnsi="Times New Roman" w:eastAsia="方正黑体" w:cs="Times New Roman"/>
          <w:kern w:val="0"/>
          <w:sz w:val="32"/>
          <w:szCs w:val="32"/>
          <w:lang w:val="en-US" w:eastAsia="zh-CN" w:bidi="ar"/>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2"/>
          <w:szCs w:val="32"/>
          <w:lang w:val="en-US" w:eastAsia="zh-CN" w:bidi="ar"/>
        </w:rPr>
        <w:t>第一部分  中国共产党通海县委员会县直机关工作委员会概况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一、主要职能</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方正楷体" w:cs="Times New Roman"/>
          <w:kern w:val="0"/>
          <w:sz w:val="30"/>
          <w:szCs w:val="30"/>
          <w:lang w:val="en-US" w:eastAsia="zh-CN" w:bidi="ar"/>
        </w:rPr>
      </w:pPr>
      <w:r>
        <w:rPr>
          <w:rFonts w:hint="default" w:ascii="Times New Roman" w:hAnsi="Times New Roman" w:eastAsia="方正楷体" w:cs="Times New Roman"/>
          <w:kern w:val="0"/>
          <w:sz w:val="30"/>
          <w:szCs w:val="30"/>
          <w:lang w:val="en-US" w:eastAsia="zh-CN" w:bidi="ar"/>
        </w:rPr>
        <w:t>（一）主要职能</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通海县委县直机关工委为县委直属正科级行政单位，主要职责是：统一组织、规划、部署县直机关党的工作，提出加强和改进机关党的建设的意见和建议，研究制定工作规划，并抓好组织实施。指导县直机关党的政治建设、思想建设、组织建设、作风建设、纪律建设，把制度建设贯穿其中，深入推进反腐败斗争。指导县直机关各基层党组织和广大党员学习马克思列宁主义、毛泽东思想、邓小平理论、“三个代表”重要思想、科学发展观、习近平新时代中国特色社会主义思想。对县直机关各基层党组织、党员领导干部落实党建责任制、遵守政治纪律和政治规矩情况进行监督检查，并向县委报告。指导县直机关各基层党组织实施对党员特别是党员领导干部的监督和管理，及时向县委反映各部门领导班子、领导干部的情况。配合县委有关部门抓好县直机关各部门领导班子思想政治建设，参与对党员领导干部民主生活会和县直机关各部门单位理论学习中心组学习的督促检查和指导，了解掌握情况，按规定报送情况报告。督促指导县直机关各基层党组织按期换届，审批关于召开党员大会或党员代表大会的请示，审批所属的县直各部门机关党委、党总支部、党支部领导班子的组成及书记、副书记的任免。指导各基层党组织加强基层组织建设，做好党员发展、教育和管理等工作。组织开展县直机关党务干部教育培训。了解掌握县直机关工作人员的思想状况，指导县直机关各基层党组织加强思想政治工作和精神文明建设。完成县委交办的其他任务。</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（二）202</w:t>
      </w:r>
      <w:r>
        <w:rPr>
          <w:rFonts w:hint="default" w:ascii="Times New Roman" w:hAnsi="Times New Roman" w:eastAsia="宋体" w:cs="Times New Roman"/>
          <w:kern w:val="0"/>
          <w:sz w:val="30"/>
          <w:szCs w:val="30"/>
          <w:lang w:val="en-US" w:eastAsia="zh-CN" w:bidi="ar"/>
        </w:rPr>
        <w:t>2</w:t>
      </w:r>
      <w:r>
        <w:rPr>
          <w:rFonts w:hint="default" w:ascii="Times New Roman" w:hAnsi="Times New Roman" w:eastAsia="方正楷体" w:cs="Times New Roman"/>
          <w:kern w:val="0"/>
          <w:sz w:val="30"/>
          <w:szCs w:val="30"/>
          <w:lang w:val="en-US" w:eastAsia="zh-CN" w:bidi="ar"/>
        </w:rPr>
        <w:t>年度重点工作任务概述</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一是突出政治引领，夯实党建主体责任。压紧压实管党治党政治责任，于2022年1月11日开展机关党组织书记述职评议，完成上年度47个（含公安局党委）党组织书记向上级党组织述职。二是开展</w:t>
      </w:r>
      <w:r>
        <w:rPr>
          <w:rFonts w:hint="default" w:ascii="Times New Roman" w:hAnsi="Times New Roman" w:eastAsia="仿宋_GB2312" w:cs="Times New Roman"/>
          <w:sz w:val="30"/>
          <w:szCs w:val="30"/>
        </w:rPr>
        <w:t>“基层党组织书记讲坛”。</w:t>
      </w:r>
      <w:r>
        <w:rPr>
          <w:rFonts w:hint="default" w:ascii="Times New Roman" w:hAnsi="Times New Roman" w:eastAsia="仿宋_GB2312" w:cs="Times New Roman"/>
          <w:sz w:val="30"/>
          <w:szCs w:val="30"/>
          <w:lang w:val="en-US" w:eastAsia="zh-CN"/>
        </w:rPr>
        <w:t>举办4期基层党组织书记讲坛，交流经验、展示形象、接受检阅、提升能力，共同促进机关党建工作高质量发展。三是</w:t>
      </w:r>
      <w:r>
        <w:rPr>
          <w:rFonts w:hint="default" w:ascii="Times New Roman" w:hAnsi="Times New Roman" w:eastAsia="仿宋_GB2312" w:cs="Times New Roman"/>
          <w:sz w:val="30"/>
          <w:szCs w:val="30"/>
          <w:lang w:eastAsia="zh-CN"/>
        </w:rPr>
        <w:t>开展“书香党支部”创建实施全民阅读活动。</w:t>
      </w:r>
      <w:r>
        <w:rPr>
          <w:rFonts w:hint="default" w:ascii="Times New Roman" w:hAnsi="Times New Roman" w:eastAsia="仿宋_GB2312" w:cs="Times New Roman"/>
          <w:sz w:val="30"/>
          <w:szCs w:val="30"/>
          <w:lang w:val="en-US" w:eastAsia="zh-CN"/>
        </w:rPr>
        <w:t>四是</w:t>
      </w:r>
      <w:r>
        <w:rPr>
          <w:rFonts w:hint="default" w:ascii="Times New Roman" w:hAnsi="Times New Roman" w:eastAsia="仿宋_GB2312" w:cs="Times New Roman"/>
          <w:sz w:val="30"/>
          <w:szCs w:val="30"/>
          <w:lang w:eastAsia="zh-CN"/>
        </w:rPr>
        <w:t>开展</w:t>
      </w:r>
      <w:r>
        <w:rPr>
          <w:rFonts w:hint="default" w:ascii="Times New Roman" w:hAnsi="Times New Roman" w:eastAsia="仿宋_GB2312" w:cs="Times New Roman"/>
          <w:sz w:val="30"/>
          <w:szCs w:val="30"/>
          <w:lang w:val="en-US" w:eastAsia="zh-CN"/>
        </w:rPr>
        <w:t>民族团结进步示范创建“进机关”工作。五是以提升组织力为重点，推动机关党建提质增效</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6月初，对县委巡察组发现问题较多的党组织进行派单，对整改难度大、易反弹的党组织，盯住抓、持续抓、反复抓，以抓工作落实倒逼工作作风的转变。六是加强机关效能建设，服务重点中心工作。发布“红榜”2期，“黑榜”1期，对审计局等9个党组织的经验做法印发各党组织，互相学习借鉴，共同促进提高；对县科协等3个工作落实不力，党建工作浮于表面的党组织，列为黑榜进行通报。七是严把三关推动发展党员规范化。八是积极推进“智慧党建”三年行动计划。5月17日县委县直机关工委党的建设工作会议上，对“智慧党建”大数据指标提升操作进行了培训。在《县委县直机关工委2022年度基层党建工作重点任务清单》中，强调“智慧党建”的重要性，提出了2022年工作目标要求。聚焦云岭先锋APP、网上党支部平台的具体操作使用，对“三会一课”“主题党日”“党费</w:t>
      </w:r>
      <w:r>
        <w:rPr>
          <w:rFonts w:hint="eastAsia" w:ascii="Times New Roman" w:hAnsi="Times New Roman" w:eastAsia="仿宋_GB2312" w:cs="Times New Roman"/>
          <w:sz w:val="30"/>
          <w:szCs w:val="30"/>
          <w:lang w:val="en-US" w:eastAsia="zh-CN"/>
        </w:rPr>
        <w:t>交</w:t>
      </w:r>
      <w:r>
        <w:rPr>
          <w:rFonts w:hint="default" w:ascii="Times New Roman" w:hAnsi="Times New Roman" w:eastAsia="仿宋_GB2312" w:cs="Times New Roman"/>
          <w:sz w:val="30"/>
          <w:szCs w:val="30"/>
          <w:lang w:val="en-US" w:eastAsia="zh-CN"/>
        </w:rPr>
        <w:t>纳”采取微信群指导、视频讲授、“上门服务”等方式，对工委47个基层党组织进行指导，打通指导服务基层党组织推进“智慧党建”工作“最后一公里”，进一步提高基层党务干部业务能力，规范“智慧党建”信息化平台使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二、部门基本情况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（一）机构设置情况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eastAsia"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我部门共设置2个内设机构，包括：办公室、组织股</w:t>
      </w:r>
      <w:r>
        <w:rPr>
          <w:rFonts w:hint="eastAsia" w:ascii="Times New Roman" w:hAnsi="Times New Roman" w:eastAsia="仿宋_GB2312" w:cs="Times New Roman"/>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所属单位</w:t>
      </w:r>
      <w:r>
        <w:rPr>
          <w:rFonts w:hint="eastAsia" w:ascii="Times New Roman" w:hAnsi="Times New Roman" w:eastAsia="仿宋_GB2312" w:cs="Times New Roman"/>
          <w:kern w:val="0"/>
          <w:sz w:val="30"/>
          <w:szCs w:val="30"/>
          <w:lang w:val="en-US" w:eastAsia="zh-CN" w:bidi="ar"/>
        </w:rPr>
        <w:t>0</w:t>
      </w:r>
      <w:r>
        <w:rPr>
          <w:rFonts w:hint="default" w:ascii="Times New Roman" w:hAnsi="Times New Roman" w:eastAsia="仿宋_GB2312" w:cs="Times New Roman"/>
          <w:kern w:val="0"/>
          <w:sz w:val="30"/>
          <w:szCs w:val="30"/>
          <w:lang w:val="en-US" w:eastAsia="zh-CN" w:bidi="ar"/>
        </w:rPr>
        <w:t>个</w:t>
      </w:r>
      <w:r>
        <w:rPr>
          <w:rFonts w:hint="eastAsia" w:ascii="Times New Roman" w:hAnsi="Times New Roman" w:eastAsia="仿宋_GB2312" w:cs="Times New Roman"/>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（二）决算单位构成</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纳入中国共产党通海县委员会县直机关工作委员会2022年度部门决算编报的单位共1个。其中：行政单位1个，参照公务员法管理的事业单位0个，其他事业单位0个。分别是：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1.中国共产党通海县委员会县直机关工作委员会。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 xml:space="preserve">（三）部门人员和车辆的编制及实有情况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中国共产党通海县委员会县直机关工作委员会2022年末实有人员编制3人。其中：行政编制3人（含行政工勤编制0人），事业编制0人（含参公管理事业编制0人）；在职在编实有行政人员3人（含行政工勤人员0人），事业人员0人（含参公管理事业人员0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尚未移交养老保险基金发放养老金的离退休人员共计0人（离休0人，退休0人）；由养老保险基金发放养老金的离退休人员3人（离休0人，退休3人）。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实有车辆编制0辆，在编实有车辆0辆。</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2"/>
          <w:szCs w:val="32"/>
          <w:lang w:val="en-US" w:eastAsia="zh-CN" w:bidi="ar"/>
        </w:rPr>
        <w:t>第二部分  202</w:t>
      </w:r>
      <w:r>
        <w:rPr>
          <w:rFonts w:hint="default" w:ascii="Times New Roman" w:hAnsi="Times New Roman" w:eastAsia="宋体" w:cs="Times New Roman"/>
          <w:kern w:val="0"/>
          <w:sz w:val="32"/>
          <w:szCs w:val="32"/>
          <w:lang w:val="en-US" w:eastAsia="zh-CN" w:bidi="ar"/>
        </w:rPr>
        <w:t>2</w:t>
      </w:r>
      <w:r>
        <w:rPr>
          <w:rFonts w:hint="default" w:ascii="Times New Roman" w:hAnsi="Times New Roman" w:eastAsia="方正黑体" w:cs="Times New Roman"/>
          <w:kern w:val="0"/>
          <w:sz w:val="32"/>
          <w:szCs w:val="32"/>
          <w:lang w:val="en-US" w:eastAsia="zh-CN" w:bidi="ar"/>
        </w:rPr>
        <w:t>年度部门决算表</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center"/>
        <w:textAlignment w:val="auto"/>
        <w:rPr>
          <w:rFonts w:hint="default" w:ascii="Times New Roman" w:hAnsi="Times New Roman" w:eastAsia="方正仿宋" w:cs="Times New Roman"/>
          <w:kern w:val="0"/>
          <w:sz w:val="30"/>
          <w:szCs w:val="30"/>
          <w:lang w:val="en-US" w:eastAsia="zh-CN" w:bidi="ar"/>
        </w:rPr>
      </w:pPr>
      <w:r>
        <w:rPr>
          <w:rFonts w:hint="default" w:ascii="Times New Roman" w:hAnsi="Times New Roman" w:eastAsia="方正仿宋" w:cs="Times New Roman"/>
          <w:kern w:val="0"/>
          <w:sz w:val="30"/>
          <w:szCs w:val="30"/>
          <w:lang w:val="en-US" w:eastAsia="zh-CN" w:bidi="ar"/>
        </w:rPr>
        <w:t>（详见附件）</w:t>
      </w:r>
    </w:p>
    <w:p>
      <w:pPr>
        <w:keepNext w:val="0"/>
        <w:keepLines w:val="0"/>
        <w:pageBreakBefore w:val="0"/>
        <w:kinsoku/>
        <w:wordWrap/>
        <w:overflowPunct/>
        <w:topLinePunct w:val="0"/>
        <w:autoSpaceDE/>
        <w:autoSpaceDN/>
        <w:bidi w:val="0"/>
        <w:adjustRightInd/>
        <w:spacing w:line="590" w:lineRule="exact"/>
        <w:ind w:firstLine="600" w:firstLineChars="200"/>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bidi="ar"/>
        </w:rPr>
        <w:t>中国共产党通海县委员会县直机关工作委员会2022年度无政府性基金预算财政拨款收入</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eastAsia="zh-CN"/>
        </w:rPr>
        <w:t>也没有使用政府性基金预算财政拨款安排的支出，</w:t>
      </w:r>
      <w:r>
        <w:rPr>
          <w:rFonts w:hint="default" w:ascii="Times New Roman" w:hAnsi="Times New Roman" w:eastAsia="仿宋_GB2312" w:cs="Times New Roman"/>
          <w:kern w:val="0"/>
          <w:sz w:val="30"/>
          <w:szCs w:val="30"/>
          <w:lang w:val="en-US" w:eastAsia="zh-CN" w:bidi="ar"/>
        </w:rPr>
        <w:t>《政府性基金预算财政拨款收入支出决算表》为空表。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中国共产党通海县委员会县直机关工作委员会2022年度无国有资本经营预算财政拨款收入，</w:t>
      </w:r>
      <w:r>
        <w:rPr>
          <w:rFonts w:hint="default" w:ascii="Times New Roman" w:hAnsi="Times New Roman" w:eastAsia="仿宋_GB2312" w:cs="Times New Roman"/>
          <w:kern w:val="0"/>
          <w:sz w:val="30"/>
          <w:szCs w:val="30"/>
          <w:lang w:eastAsia="zh-CN"/>
        </w:rPr>
        <w:t>也没有使用国有资本经营预算财政拨款安排的支出，</w:t>
      </w:r>
      <w:r>
        <w:rPr>
          <w:rFonts w:hint="default" w:ascii="Times New Roman" w:hAnsi="Times New Roman" w:eastAsia="仿宋_GB2312" w:cs="Times New Roman"/>
          <w:kern w:val="0"/>
          <w:sz w:val="30"/>
          <w:szCs w:val="30"/>
          <w:lang w:val="en-US" w:eastAsia="zh-CN" w:bidi="ar"/>
        </w:rPr>
        <w:t>《国有资本经营预算财政拨款收入支出决算表》为空表。</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2"/>
          <w:szCs w:val="32"/>
          <w:lang w:val="en-US" w:eastAsia="zh-CN" w:bidi="ar"/>
        </w:rPr>
        <w:t>第三部分  202</w:t>
      </w:r>
      <w:r>
        <w:rPr>
          <w:rFonts w:hint="default" w:ascii="Times New Roman" w:hAnsi="Times New Roman" w:eastAsia="宋体" w:cs="Times New Roman"/>
          <w:kern w:val="0"/>
          <w:sz w:val="32"/>
          <w:szCs w:val="32"/>
          <w:lang w:val="en-US" w:eastAsia="zh-CN" w:bidi="ar"/>
        </w:rPr>
        <w:t>2</w:t>
      </w:r>
      <w:r>
        <w:rPr>
          <w:rFonts w:hint="default" w:ascii="Times New Roman" w:hAnsi="Times New Roman" w:eastAsia="方正黑体" w:cs="Times New Roman"/>
          <w:kern w:val="0"/>
          <w:sz w:val="32"/>
          <w:szCs w:val="32"/>
          <w:lang w:val="en-US" w:eastAsia="zh-CN" w:bidi="ar"/>
        </w:rPr>
        <w:t>年度部门决算情况说明</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一、收入决算情况说明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中国共产党通海县委员会县直机关工作委员会2022年度收入合计808,101.81元。其中：财政拨款收入691,291.84元，占总收入的85.55%；上级补助收入0.00元，占总收入的0.00%；事业收入0.00元（含教育收费0.00元），占总收入的0.00%；经营收入0.00元，占总收入的0.00%；附属单位缴款收入0.00元，占总收入的0.00%；其他收入116,809.97元，占总收入的14.45%。与上年相比，收入合计减少24,293.88元，下降2.92%。其中：财政拨款收入增加961.23元，增长0.14%，主要原因是党建经费上年财政没拨够，本年足额拨付；上级补助收入增加0.00元，增长0.00%；事业收入增加0.00元，增长0.00%；经营收入增加0.00元，增长0.00%；附属单位上缴收入增加0.00元，增长0.00%；其他收入减少25,255.11元，下降17.78%，主要原因是本年单位向外争取资金收入减少。</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方正黑体" w:cs="Times New Roman"/>
          <w:kern w:val="0"/>
          <w:sz w:val="30"/>
          <w:szCs w:val="30"/>
          <w:lang w:val="en-US" w:eastAsia="zh-CN" w:bidi="ar"/>
        </w:rPr>
      </w:pPr>
      <w:r>
        <w:rPr>
          <w:rFonts w:hint="default" w:ascii="Times New Roman" w:hAnsi="Times New Roman" w:eastAsia="方正黑体" w:cs="Times New Roman"/>
          <w:kern w:val="0"/>
          <w:sz w:val="30"/>
          <w:szCs w:val="30"/>
          <w:lang w:val="en-US" w:eastAsia="zh-CN" w:bidi="ar"/>
        </w:rPr>
        <w:t>二、支出决算情况说明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中国共产党通海县委员会县直机关工作委员会2022年度支出合计800,139.64元。其中：基本支出681,291.84元，占总支出的85.15%；项目支出118,847.80元，占总支出的14.85%；上缴上级支出0.00元，占总支出的0.00％；经营支出0.00元，占总支出的0.00％；对附属单位补助支出0.00元，占总支出的0.00％。与上年相比，支出合计减少37,625.55元，下降4.49%。其中：基本支出减少8,258.77元，下降1.20%，主要原因为：2022年10至12月公积金单位部分财政未拨付到位，导致没产生支出；其次2022年8月工委调出1人，一直空缺；项目支出减少29,366.78元，下降19.81%，主要原因为：本年单位向外争取资金收入减少；上缴上级支出增加0.00元，增长0.00%；经营支出增加0.00元，增长0.00%；对附属单位补助支出增加0.00元，增长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（一）基本支出情况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2022年度用于保障中国共产党通海县委员会县直机关工作委员会机关机构正常运转的日常支出681,291.84元。其中：基本工资、津贴补贴等人员经费支出628,314.93元，占基本支出的92.22％；办公费、印刷费、水电费、办公设备购置等公用经费52,976.91元，占基本支出的7.78％。</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（二）项目支出情况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2022年度用于保障中国共产党通海县委员会县直机关工作委员会机构为完成特定的行政工作任务或事业发展目标，用于专项业务工作的经费支出118,847.80元。其中：基本建设类项目支出0.00元。具体项目开支及开展工作情况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w:t>
      </w:r>
      <w:r>
        <w:rPr>
          <w:rFonts w:hint="eastAsia" w:ascii="Times New Roman" w:hAnsi="Times New Roman" w:eastAsia="仿宋_GB2312" w:cs="Times New Roman"/>
          <w:kern w:val="0"/>
          <w:sz w:val="30"/>
          <w:szCs w:val="30"/>
          <w:lang w:val="en-US" w:eastAsia="zh-CN" w:bidi="ar"/>
        </w:rPr>
        <w:t>党费项目支出105,485.10元，用于</w:t>
      </w:r>
      <w:r>
        <w:rPr>
          <w:rFonts w:hint="default" w:ascii="Times New Roman" w:hAnsi="Times New Roman" w:eastAsia="仿宋_GB2312" w:cs="Times New Roman"/>
          <w:kern w:val="0"/>
          <w:sz w:val="30"/>
          <w:szCs w:val="30"/>
          <w:lang w:val="en-US" w:eastAsia="zh-CN" w:bidi="ar"/>
        </w:rPr>
        <w:t>对困难党员慰问，金额2</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000.00元</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征订《半月谈</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内参选编</w:t>
      </w:r>
      <w:r>
        <w:rPr>
          <w:rFonts w:hint="eastAsia" w:ascii="Times New Roman" w:hAnsi="Times New Roman" w:eastAsia="仿宋_GB2312" w:cs="Times New Roman"/>
          <w:kern w:val="0"/>
          <w:sz w:val="30"/>
          <w:szCs w:val="30"/>
          <w:lang w:val="en-US" w:eastAsia="zh-CN" w:bidi="ar"/>
        </w:rPr>
        <w:t>》、《云岭先锋》等党报党刊61,731.40元；</w:t>
      </w:r>
      <w:r>
        <w:rPr>
          <w:rFonts w:hint="default" w:ascii="Times New Roman" w:hAnsi="Times New Roman" w:eastAsia="仿宋_GB2312" w:cs="Times New Roman"/>
          <w:kern w:val="0"/>
          <w:sz w:val="30"/>
          <w:szCs w:val="30"/>
          <w:lang w:val="en-US" w:eastAsia="zh-CN" w:bidi="ar"/>
        </w:rPr>
        <w:t>补助10个党组织党员活动室建设、党员教育培训31</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000.00元</w:t>
      </w:r>
      <w:r>
        <w:rPr>
          <w:rFonts w:hint="eastAsia" w:ascii="Times New Roman" w:hAnsi="Times New Roman" w:eastAsia="仿宋_GB2312" w:cs="Times New Roman"/>
          <w:kern w:val="0"/>
          <w:sz w:val="30"/>
          <w:szCs w:val="30"/>
          <w:lang w:val="en-US" w:eastAsia="zh-CN" w:bidi="ar"/>
        </w:rPr>
        <w:t>；制作入党积极分子及发展对象培训合格证书1,225.00元；返税务局、公安局党委退休党支部2022年党费9,528.70元。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eastAsia" w:ascii="Times New Roman" w:hAnsi="Times New Roman" w:eastAsia="仿宋_GB2312" w:cs="Times New Roman"/>
          <w:kern w:val="0"/>
          <w:sz w:val="30"/>
          <w:szCs w:val="30"/>
          <w:lang w:val="en-US" w:eastAsia="zh-CN" w:bidi="ar"/>
        </w:rPr>
        <w:t>2.党费利息项目支出284.00元，用于账户季度管理费，跨行汇款手续费支出。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3.</w:t>
      </w:r>
      <w:r>
        <w:rPr>
          <w:rFonts w:hint="eastAsia" w:ascii="Times New Roman" w:hAnsi="Times New Roman" w:eastAsia="仿宋_GB2312" w:cs="Times New Roman"/>
          <w:kern w:val="0"/>
          <w:sz w:val="30"/>
          <w:szCs w:val="30"/>
          <w:lang w:val="en-US" w:eastAsia="zh-CN" w:bidi="ar"/>
        </w:rPr>
        <w:t>七个专项项目支出1,072.50元，用于单位及网格片区宣传栏制作及基本账户季度管理费、跨行汇款手续费支出。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eastAsia"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4.组织部下拨党员教育培训经</w:t>
      </w:r>
      <w:r>
        <w:rPr>
          <w:rFonts w:hint="eastAsia" w:ascii="Times New Roman" w:hAnsi="Times New Roman" w:eastAsia="仿宋_GB2312" w:cs="Times New Roman"/>
          <w:kern w:val="0"/>
          <w:sz w:val="30"/>
          <w:szCs w:val="30"/>
          <w:lang w:val="en-US" w:eastAsia="zh-CN" w:bidi="ar"/>
        </w:rPr>
        <w:t>费项目支出2,006.20元，用于工委2021年党组织书记培训及论坛费用。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lang w:val="en-US" w:eastAsia="zh-CN"/>
        </w:rPr>
      </w:pPr>
      <w:r>
        <w:rPr>
          <w:rFonts w:hint="eastAsia" w:ascii="Times New Roman" w:hAnsi="Times New Roman" w:eastAsia="仿宋_GB2312" w:cs="Times New Roman"/>
          <w:kern w:val="0"/>
          <w:sz w:val="30"/>
          <w:szCs w:val="30"/>
          <w:lang w:val="en-US" w:eastAsia="zh-CN" w:bidi="ar"/>
        </w:rPr>
        <w:t>5.党建经费项目支出10,000.00元，用于“双万”培训会场费、水费、授课教师费。</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三、一般公共预算财政拨款支出决算情况说明</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（一）一般公共预算财政拨款支出决算总体情况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中国共产党通海县委员会县直机关工作委员会2022年度一般公共预算财政拨款支出691,291.84元，占本年支出合计的86.40%。与上年相比增加961.23元，增长0.14%，主要原因：是党建经费上年财政没拨够，本年足额拨付。</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宋体" w:cs="Times New Roman"/>
          <w:kern w:val="0"/>
          <w:sz w:val="24"/>
          <w:szCs w:val="24"/>
        </w:rPr>
      </w:pPr>
      <w:r>
        <w:rPr>
          <w:rFonts w:hint="default" w:ascii="Times New Roman" w:hAnsi="Times New Roman" w:eastAsia="方正楷体" w:cs="Times New Roman"/>
          <w:kern w:val="0"/>
          <w:sz w:val="30"/>
          <w:szCs w:val="30"/>
          <w:lang w:val="en-US" w:eastAsia="zh-CN" w:bidi="ar"/>
        </w:rPr>
        <w:t>（二）一般公共预算财政拨款支出决算具体情况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方正仿宋" w:cs="Times New Roman"/>
          <w:color w:val="FF0000"/>
          <w:kern w:val="0"/>
          <w:sz w:val="30"/>
          <w:szCs w:val="30"/>
          <w:lang w:val="en-US" w:eastAsia="zh-CN" w:bidi="ar"/>
        </w:rPr>
        <w:t xml:space="preserve"> </w:t>
      </w:r>
      <w:r>
        <w:rPr>
          <w:rFonts w:hint="default" w:ascii="Times New Roman" w:hAnsi="Times New Roman" w:eastAsia="仿宋_GB2312" w:cs="Times New Roman"/>
          <w:kern w:val="0"/>
          <w:sz w:val="30"/>
          <w:szCs w:val="30"/>
          <w:lang w:val="en-US" w:eastAsia="zh-CN" w:bidi="ar"/>
        </w:rPr>
        <w:t>1.一般公共服务（类）支出523,794.89元，占一般公共预算财政拨款总支出的75.77%。主要用于商品和服务</w:t>
      </w:r>
      <w:r>
        <w:rPr>
          <w:rFonts w:hint="eastAsia" w:ascii="Times New Roman" w:hAnsi="Times New Roman" w:eastAsia="仿宋_GB2312" w:cs="Times New Roman"/>
          <w:kern w:val="0"/>
          <w:sz w:val="30"/>
          <w:szCs w:val="30"/>
          <w:lang w:val="en-US" w:eastAsia="zh-CN" w:bidi="ar"/>
        </w:rPr>
        <w:t>支出</w:t>
      </w:r>
      <w:r>
        <w:rPr>
          <w:rFonts w:hint="default" w:ascii="Times New Roman" w:hAnsi="Times New Roman" w:eastAsia="仿宋_GB2312" w:cs="Times New Roman"/>
          <w:kern w:val="0"/>
          <w:sz w:val="30"/>
          <w:szCs w:val="30"/>
          <w:lang w:val="en-US" w:eastAsia="zh-CN" w:bidi="ar"/>
        </w:rPr>
        <w:t>52</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976.91元，工资福利支出464</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229.98元，对个人和家庭补助6</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588.00元。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 xml:space="preserve">  2.外交（类）支出0.00元，占一般公共预算财政拨款总支出的0.00%。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 xml:space="preserve">  3.国防（类）支出0.00元，占一般公共预算财政拨款总支出的0.00%。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 xml:space="preserve">  4.公共安全（类）支出0.00元，占一般公共预算财政拨款总支出的0.00%。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 xml:space="preserve">  5.教育（类）支出0.00元，占一般公共预算财政拨款总支出的0.00%。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 xml:space="preserve">  6.科学技术（类）支出0.00元，占一般公共预算财政拨款总支出的0.00%。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 xml:space="preserve">  7.文化旅游体育与传媒（类）支出0.00元，占一般公共预算财政拨款总支出的0.00%。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 xml:space="preserve">  8.社会保障和就业（类）支出58,412.48元，占一般公共预算财政拨款总支出的8.45%。主要用于机关事业单位基本养老保险缴费支出58</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412.48元。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 xml:space="preserve">  9.卫生健康（类）支出56,337.69元，占一般公共预算财政拨款总支出的8.15%。主要用于本单位在职在编人员的行政单位医疗29</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584.16元，公务员医疗补助26,753.53元。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10.节能环保（类）支出0.00元，占一般公共预算财政拨款总支出的0.00%。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11.城乡社区（类）支出0.00元，占一般公共预算财政拨款总支出的0.00%。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12.农林水（类）支出0.00元，占一般公共预算财政拨款总支出的0.00%。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13.交通运输（类）支出0.00元，占一般公共预算财政拨款总支出的0.00%。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14.资源勘探工业信息等（类）支出类0.00元，占一般公共预算财政拨款总支出的0.00%。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15.商业服务业等（类）支出0.00元，占一般公共预算财政拨款总支出的0.00%。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16.金融（类）支出0.00元，占一般公共预算财政拨款总支出的0.00%。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17.援助其他地区（类）支出0.00元，占一般公共预算财政拨款总支出的0.00%。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18.自然资源海洋气象等（类）支出0.00元，占一般公共预算财政拨款总支出的0.00%。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19.住房保障（类）支出52,746.78元，占一般公共预算财政拨款总支出的7.63%。主要用于本单位在职在编人员的住房公积金46</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995.00元，购房补贴5</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751.78元。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20.粮油物资储备（类）支出0.00元，占一般公共预算财政拨款总支出的0.00%。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21.国有资本经营预算（类）支出0.00元，占一般公共预算财政拨款总支出的0.00%。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22.灾害防治及应急管理（类）支出0.00元，占一般公共预算财政拨款总支出的0.00%。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23.其他（类）支出0.00元，占一般公共预算财政拨款总支出的0.00%。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24.债务还本（类）支出0.00元，占一般公共预算财政拨款总支出的0.00%。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25.债务付息（类）支出0.00元，占一般公共预算财政拨款总支出的0.00%。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26.抗疫特别国债安排（类）支出0.00元，占一般公共预算财政拨款总支出的0.00%。</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四、财政拨款</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黑体" w:cs="Times New Roman"/>
          <w:kern w:val="0"/>
          <w:sz w:val="30"/>
          <w:szCs w:val="30"/>
          <w:lang w:val="en-US" w:eastAsia="zh-CN" w:bidi="ar"/>
        </w:rPr>
        <w:t>三公</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黑体" w:cs="Times New Roman"/>
          <w:kern w:val="0"/>
          <w:sz w:val="30"/>
          <w:szCs w:val="30"/>
          <w:lang w:val="en-US" w:eastAsia="zh-CN" w:bidi="ar"/>
        </w:rPr>
        <w:t xml:space="preserve">经费支出决算情况说明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eastAsia" w:ascii="Times New Roman" w:hAnsi="Times New Roman" w:eastAsia="方正楷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一</w:t>
      </w:r>
      <w:r>
        <w:rPr>
          <w:rFonts w:hint="eastAsia" w:ascii="Times New Roman" w:hAnsi="Times New Roman" w:eastAsia="方正楷体" w:cs="Times New Roman"/>
          <w:kern w:val="0"/>
          <w:sz w:val="30"/>
          <w:szCs w:val="30"/>
          <w:lang w:val="en-US" w:eastAsia="zh-CN" w:bidi="ar"/>
        </w:rPr>
        <w:t>）</w:t>
      </w:r>
      <w:r>
        <w:rPr>
          <w:rFonts w:hint="default" w:ascii="Times New Roman" w:hAnsi="Times New Roman" w:eastAsia="方正黑体" w:cs="Times New Roman"/>
          <w:kern w:val="0"/>
          <w:sz w:val="30"/>
          <w:szCs w:val="30"/>
          <w:lang w:val="en-US" w:eastAsia="zh-CN" w:bidi="ar"/>
        </w:rPr>
        <w:t xml:space="preserve"> </w:t>
      </w:r>
      <w:r>
        <w:rPr>
          <w:rFonts w:hint="default" w:ascii="Times New Roman" w:hAnsi="Times New Roman" w:eastAsia="方正楷体" w:cs="Times New Roman"/>
          <w:kern w:val="0"/>
          <w:sz w:val="30"/>
          <w:szCs w:val="30"/>
          <w:lang w:val="en-US" w:eastAsia="zh-CN" w:bidi="ar"/>
        </w:rPr>
        <w:t>一般公共预算财政拨款</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三公</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经费支出决算总体情况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中国共产党通海县委员会县直机关工作委员会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2022年度一般公共预算财政拨款“三公”经费支出决算数等于年初预算数的主要原因是厉行节约。</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2022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2022年度一般公共预算财政拨款“三公”经费支出决算增加的主要原因是厉行节约。</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eastAsia" w:ascii="Times New Roman" w:hAnsi="Times New Roman" w:eastAsia="方正楷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二</w:t>
      </w:r>
      <w:r>
        <w:rPr>
          <w:rFonts w:hint="eastAsia" w:ascii="Times New Roman" w:hAnsi="Times New Roman" w:eastAsia="方正楷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 xml:space="preserve"> 一般公共预算财政拨款</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三公</w:t>
      </w:r>
      <w:r>
        <w:rPr>
          <w:rFonts w:hint="default" w:ascii="Times New Roman" w:hAnsi="Times New Roman" w:eastAsia="宋体" w:cs="Times New Roman"/>
          <w:kern w:val="0"/>
          <w:sz w:val="30"/>
          <w:szCs w:val="30"/>
          <w:lang w:val="en-US" w:eastAsia="zh-CN" w:bidi="ar"/>
        </w:rPr>
        <w:t>”</w:t>
      </w:r>
      <w:r>
        <w:rPr>
          <w:rFonts w:hint="default" w:ascii="Times New Roman" w:hAnsi="Times New Roman" w:eastAsia="方正楷体" w:cs="Times New Roman"/>
          <w:kern w:val="0"/>
          <w:sz w:val="30"/>
          <w:szCs w:val="30"/>
          <w:lang w:val="en-US" w:eastAsia="zh-CN" w:bidi="ar"/>
        </w:rPr>
        <w:t>经费支出实物量的具体情况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1.安排因公出国（境）团组0个，累计0人次。</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2.购置车辆0辆。开支一般公共预算财政拨款的公务用车保有量为0辆。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3.安排国内公务接待0批次（其中：外事接待0批次），接待人次0人（其中：外事接待人次0人）。安排国（境）外公务接待0批次，接待人次0人。</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仿宋_GB2312" w:cs="Times New Roman"/>
          <w:kern w:val="0"/>
          <w:sz w:val="30"/>
          <w:szCs w:val="30"/>
          <w:lang w:val="en-US" w:eastAsia="zh-CN" w:bidi="ar"/>
        </w:rPr>
        <w:t xml:space="preserve"> </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2"/>
          <w:szCs w:val="32"/>
          <w:lang w:val="en-US" w:eastAsia="zh-CN" w:bidi="ar"/>
        </w:rPr>
        <w:t>第四部分  其他重要事项及相关口径情况说明</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一、机关运行经费支出情况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中国共产党通海县委员会县直机关工作委员会2022年机关运行经费支出52,976.91元，增加3,790.97元，增长7.71%</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主要原因分析是业务工作增加，办公费增加，领导外出培训费增加。部门机关运行经费主要用于办公费12</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012.51元，水费800.00元，电费3</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200.00元，邮电费364.40元，差旅费3</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600.00元，其他交通费33</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000.00元。</w:t>
      </w:r>
    </w:p>
    <w:p>
      <w:pPr>
        <w:keepNext w:val="0"/>
        <w:keepLines w:val="0"/>
        <w:pageBreakBefore w:val="0"/>
        <w:widowControl w:val="0"/>
        <w:suppressLineNumbers w:val="0"/>
        <w:kinsoku/>
        <w:wordWrap/>
        <w:overflowPunct/>
        <w:topLinePunct/>
        <w:autoSpaceDE w:val="0"/>
        <w:autoSpaceDN/>
        <w:bidi w:val="0"/>
        <w:adjustRightInd/>
        <w:spacing w:beforeAutospacing="0" w:afterAutospacing="0" w:line="590" w:lineRule="exact"/>
        <w:ind w:left="0" w:leftChars="0" w:right="0" w:firstLine="60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二、国有资产占用情况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截至2022年12月31日，中国共产党通海县委员会县直机关工作委员会资产总额225</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085.20元，其中，流动资产193</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867.19元，固定资产30</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580.51元，对外投资及有价证券0.00元，在建工程0.00元，无形资产637.50元，其他资产0.00元（具体内容详见附表）。与上年相比，本年资产总额减少562.20元，其中固定资产减少562.20元。处置房屋建筑物0.00平方米，账面原值0.00元；处置车辆0辆，账面原值0.00元；报废报损资产6项，账面原值23,073.00元，实现资产处置收入130.00元；出租房屋0.00平方米，账面原值0.00元，实现资产使用收入0.00元。（国有资产占有使用情况表详见附表）</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三、政府采购支出情况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2022年度，部门政府采购支出总额0.00元，其中：政府采购货物支出0.00元；政府采购工程支出0.00元；政府采购服务支出0.00元。授予中小企业合同金额0.00元，占政府采购支出总额的0.00%。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四、部门绩效自评情况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部门绩效自评情况详见附表。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1"/>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仿宋_GB2312" w:cs="Arial"/>
          <w:kern w:val="0"/>
          <w:sz w:val="30"/>
          <w:szCs w:val="30"/>
          <w:lang w:val="en-US" w:eastAsia="zh-CN"/>
        </w:rPr>
      </w:pPr>
      <w:r>
        <w:rPr>
          <w:rFonts w:hint="default" w:ascii="仿宋_GB2312" w:hAnsi="宋体" w:eastAsia="仿宋_GB2312" w:cs="Arial"/>
          <w:kern w:val="0"/>
          <w:sz w:val="30"/>
          <w:szCs w:val="30"/>
          <w:lang w:val="en-US" w:eastAsia="zh-CN"/>
        </w:rPr>
        <w:t>无</w:t>
      </w:r>
      <w:r>
        <w:rPr>
          <w:rFonts w:hint="eastAsia" w:ascii="仿宋_GB2312" w:hAnsi="宋体" w:eastAsia="仿宋_GB2312" w:cs="Arial"/>
          <w:kern w:val="0"/>
          <w:sz w:val="30"/>
          <w:szCs w:val="30"/>
          <w:lang w:val="en-US" w:eastAsia="zh-CN"/>
        </w:rPr>
        <w:t>。</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0"/>
          <w:szCs w:val="30"/>
          <w:lang w:val="en-US" w:eastAsia="zh-CN" w:bidi="ar"/>
        </w:rPr>
        <w:t>六、相关口径说明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0"/>
          <w:szCs w:val="30"/>
          <w:lang w:val="en-US" w:eastAsia="zh-CN" w:bidi="ar"/>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方正黑体" w:cs="Times New Roman"/>
          <w:kern w:val="0"/>
          <w:sz w:val="32"/>
          <w:szCs w:val="32"/>
          <w:lang w:val="en-US" w:eastAsia="zh-CN" w:bidi="ar"/>
        </w:rPr>
        <w:t>第五部分  名词解释</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部门决算：各部门依据国家有关法律法规规定及其履行职能情况编制，反映部门所</w:t>
      </w:r>
      <w:r>
        <w:rPr>
          <w:rFonts w:hint="eastAsia" w:ascii="Times New Roman" w:hAnsi="Times New Roman" w:eastAsia="仿宋_GB2312" w:cs="Times New Roman"/>
          <w:kern w:val="0"/>
          <w:sz w:val="30"/>
          <w:szCs w:val="30"/>
          <w:lang w:val="en-US" w:eastAsia="zh-CN" w:bidi="ar"/>
        </w:rPr>
        <w:t>有</w:t>
      </w:r>
      <w:bookmarkStart w:id="0" w:name="_GoBack"/>
      <w:bookmarkEnd w:id="0"/>
      <w:r>
        <w:rPr>
          <w:rFonts w:hint="default" w:ascii="Times New Roman" w:hAnsi="Times New Roman" w:eastAsia="仿宋_GB2312" w:cs="Times New Roman"/>
          <w:kern w:val="0"/>
          <w:sz w:val="30"/>
          <w:szCs w:val="30"/>
          <w:lang w:val="en-US" w:eastAsia="zh-CN" w:bidi="ar"/>
        </w:rPr>
        <w:t>预算收支和结余执行结果及绩效等情况的综合性年度报告，是改进部门预算执行以及编制后续年度部门预算的参考和依据。</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kern w:val="0"/>
          <w:sz w:val="30"/>
          <w:szCs w:val="30"/>
          <w:lang w:val="en-US" w:eastAsia="zh-CN" w:bidi="ar"/>
        </w:rPr>
      </w:pPr>
      <w:r>
        <w:rPr>
          <w:rFonts w:hint="default" w:ascii="Times New Roman" w:hAnsi="Times New Roman" w:eastAsia="仿宋_GB2312" w:cs="Times New Roman"/>
          <w:kern w:val="0"/>
          <w:sz w:val="30"/>
          <w:szCs w:val="30"/>
          <w:lang w:val="en-US" w:eastAsia="zh-CN" w:bidi="ar"/>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keepNext w:val="0"/>
        <w:keepLines w:val="0"/>
        <w:pageBreakBefore w:val="0"/>
        <w:kinsoku/>
        <w:wordWrap/>
        <w:overflowPunct/>
        <w:topLinePunct w:val="0"/>
        <w:autoSpaceDE/>
        <w:autoSpaceDN/>
        <w:bidi w:val="0"/>
        <w:adjustRightInd/>
        <w:spacing w:after="0" w:line="590" w:lineRule="exact"/>
        <w:ind w:left="0" w:leftChars="0"/>
        <w:jc w:val="both"/>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atLeast"/>
        <w:ind w:left="0" w:right="0" w:firstLine="600"/>
        <w:jc w:val="left"/>
        <w:textAlignment w:val="auto"/>
        <w:rPr>
          <w:rFonts w:hint="default" w:ascii="Times New Roman" w:hAnsi="Times New Roman" w:eastAsia="宋体" w:cs="Times New Roman"/>
          <w:kern w:val="0"/>
          <w:sz w:val="24"/>
          <w:szCs w:val="24"/>
        </w:rPr>
      </w:pPr>
      <w:r>
        <w:rPr>
          <w:rFonts w:hint="default" w:ascii="Times New Roman" w:hAnsi="Times New Roman" w:eastAsia="方正小标宋简体" w:cs="Times New Roman"/>
          <w:kern w:val="0"/>
          <w:sz w:val="36"/>
          <w:szCs w:val="36"/>
          <w:lang w:val="en-US" w:eastAsia="zh-CN" w:bidi="ar"/>
        </w:rPr>
        <w:t xml:space="preserve"> </w:t>
      </w:r>
    </w:p>
    <w:p>
      <w:pPr>
        <w:rPr>
          <w:rFonts w:hint="default" w:ascii="Times New Roman" w:hAnsi="Times New Roman" w:cs="Times New Roman"/>
        </w:rPr>
      </w:pPr>
    </w:p>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监督索引号53042300328601111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zODRkMmJlYTQ1OTUyYTViNTZlNGFmNjhlNmM0NjcifQ=="/>
  </w:docVars>
  <w:rsids>
    <w:rsidRoot w:val="3B812B1E"/>
    <w:rsid w:val="0D1709DD"/>
    <w:rsid w:val="0E0B7B62"/>
    <w:rsid w:val="1A830A33"/>
    <w:rsid w:val="1A8F7971"/>
    <w:rsid w:val="1C804E57"/>
    <w:rsid w:val="236D42CA"/>
    <w:rsid w:val="269C6D59"/>
    <w:rsid w:val="2AB70770"/>
    <w:rsid w:val="2B694E44"/>
    <w:rsid w:val="2FF32B37"/>
    <w:rsid w:val="30BF6B2B"/>
    <w:rsid w:val="36137523"/>
    <w:rsid w:val="3B1524CA"/>
    <w:rsid w:val="3B812B1E"/>
    <w:rsid w:val="3DA87B78"/>
    <w:rsid w:val="41E85EED"/>
    <w:rsid w:val="45861640"/>
    <w:rsid w:val="476253EA"/>
    <w:rsid w:val="4B3F197B"/>
    <w:rsid w:val="4DF523F6"/>
    <w:rsid w:val="53D2580A"/>
    <w:rsid w:val="554B0828"/>
    <w:rsid w:val="5CE94802"/>
    <w:rsid w:val="5F0A746E"/>
    <w:rsid w:val="5FD808F4"/>
    <w:rsid w:val="5FED2422"/>
    <w:rsid w:val="61DD3996"/>
    <w:rsid w:val="638E5CCA"/>
    <w:rsid w:val="643259E4"/>
    <w:rsid w:val="64C55AC4"/>
    <w:rsid w:val="66265593"/>
    <w:rsid w:val="6A185403"/>
    <w:rsid w:val="6A5A4044"/>
    <w:rsid w:val="6E1B545A"/>
    <w:rsid w:val="71690783"/>
    <w:rsid w:val="773222E5"/>
    <w:rsid w:val="773910F6"/>
    <w:rsid w:val="7A774E6B"/>
    <w:rsid w:val="7C646662"/>
    <w:rsid w:val="7C8B1F44"/>
    <w:rsid w:val="7E68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rFonts w:ascii="Calibri" w:hAnsi="Calibri" w:eastAsia="宋体" w:cs="Times New Roman"/>
      <w:kern w:val="0"/>
      <w:sz w:val="28"/>
      <w:szCs w:val="28"/>
    </w:rPr>
  </w:style>
  <w:style w:type="paragraph" w:styleId="4">
    <w:name w:val="Body Text"/>
    <w:basedOn w:val="1"/>
    <w:unhideWhenUsed/>
    <w:qFormat/>
    <w:uiPriority w:val="0"/>
  </w:style>
  <w:style w:type="character" w:customStyle="1" w:styleId="7">
    <w:name w:val="10"/>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16</Pages>
  <Words>6961</Words>
  <Characters>8080</Characters>
  <Lines>0</Lines>
  <Paragraphs>0</Paragraphs>
  <TotalTime>44</TotalTime>
  <ScaleCrop>false</ScaleCrop>
  <LinksUpToDate>false</LinksUpToDate>
  <CharactersWithSpaces>8128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2023-10-17T06:35:00Z</dcterms:created>
  <dc:creator>Administrator</dc:creator>
  <cp:lastModifiedBy>Administrator</cp:lastModifiedBy>
  <dcterms:modified xsi:type="dcterms:W3CDTF">2023-11-06T08:46:12Z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941396EC5344424FBB5EC42FC87ECECC</vt:lpwstr>
  </property>
  <property fmtid="{D5CDD505-2E9C-101B-9397-08002B2CF9AE}" pid="3" name="KSOProductBuildVer">
    <vt:lpwstr>2052-11.8.2.12085</vt:lpwstr>
  </property>
</Properties>
</file>