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监督索引号53042200347401000</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澄江市工业商贸和科技信息局2022年度部门决算</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val="0"/>
        <w:suppressLineNumbers w:val="0"/>
        <w:autoSpaceDE w:val="0"/>
        <w:autoSpaceDN/>
        <w:spacing w:line="59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目录</w:t>
      </w:r>
    </w:p>
    <w:p>
      <w:pPr>
        <w:keepNext w:val="0"/>
        <w:keepLines w:val="0"/>
        <w:widowControl w:val="0"/>
        <w:suppressLineNumbers w:val="0"/>
        <w:autoSpaceDE w:val="0"/>
        <w:autoSpaceDN/>
        <w:spacing w:line="590" w:lineRule="exact"/>
        <w:rPr>
          <w:rFonts w:hint="eastAsia" w:ascii="黑体" w:hAnsi="宋体" w:eastAsia="黑体" w:cs="黑体"/>
          <w:kern w:val="0"/>
          <w:sz w:val="32"/>
          <w:szCs w:val="32"/>
        </w:rPr>
      </w:pPr>
      <w:r>
        <w:rPr>
          <w:rFonts w:hint="eastAsia" w:ascii="黑体" w:hAnsi="宋体" w:eastAsia="黑体" w:cs="黑体"/>
          <w:kern w:val="0"/>
          <w:sz w:val="32"/>
          <w:szCs w:val="32"/>
        </w:rPr>
        <w:t>第一部分 澄江市财政局概况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一、主要职能</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二、部门基本情况</w:t>
      </w:r>
    </w:p>
    <w:p>
      <w:pPr>
        <w:keepNext w:val="0"/>
        <w:keepLines w:val="0"/>
        <w:widowControl w:val="0"/>
        <w:suppressLineNumbers w:val="0"/>
        <w:autoSpaceDE w:val="0"/>
        <w:autoSpaceDN/>
        <w:spacing w:line="590" w:lineRule="exact"/>
        <w:rPr>
          <w:rFonts w:hint="eastAsia" w:ascii="黑体" w:hAnsi="宋体" w:eastAsia="黑体" w:cs="黑体"/>
          <w:kern w:val="0"/>
          <w:sz w:val="32"/>
          <w:szCs w:val="32"/>
        </w:rPr>
      </w:pPr>
      <w:r>
        <w:rPr>
          <w:rFonts w:hint="eastAsia" w:ascii="黑体" w:hAnsi="宋体" w:eastAsia="黑体" w:cs="黑体"/>
          <w:kern w:val="0"/>
          <w:sz w:val="32"/>
          <w:szCs w:val="32"/>
        </w:rPr>
        <w:t>第二部分 2022年度部门决算表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一、收入支出决算表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五、一般公共预算财政拨款收入支出决算表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九、国有资本经营预算财政拨款收入支出决算表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十、“三公”经费、行政参公单位机关运行经费情况表</w:t>
      </w:r>
    </w:p>
    <w:p>
      <w:pPr>
        <w:keepNext w:val="0"/>
        <w:keepLines w:val="0"/>
        <w:widowControl w:val="0"/>
        <w:suppressLineNumbers w:val="0"/>
        <w:autoSpaceDE w:val="0"/>
        <w:autoSpaceDN/>
        <w:spacing w:line="590" w:lineRule="exact"/>
        <w:rPr>
          <w:rFonts w:hint="eastAsia" w:ascii="黑体" w:hAnsi="宋体" w:eastAsia="黑体" w:cs="黑体"/>
          <w:kern w:val="0"/>
          <w:sz w:val="32"/>
          <w:szCs w:val="32"/>
        </w:rPr>
      </w:pPr>
      <w:r>
        <w:rPr>
          <w:rFonts w:hint="eastAsia" w:ascii="黑体" w:hAnsi="宋体" w:eastAsia="黑体" w:cs="黑体"/>
          <w:kern w:val="0"/>
          <w:sz w:val="32"/>
          <w:szCs w:val="32"/>
        </w:rPr>
        <w:t>第三部分 2022年度部门决算情况说明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一、收入决算情况说明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二、支出决算情况说明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三、一般公共预算财政拨款支出决算情况说明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四、财政拨款“三公”经费支出决算情况说明</w:t>
      </w:r>
    </w:p>
    <w:p>
      <w:pPr>
        <w:keepNext w:val="0"/>
        <w:keepLines w:val="0"/>
        <w:widowControl w:val="0"/>
        <w:suppressLineNumbers w:val="0"/>
        <w:autoSpaceDE w:val="0"/>
        <w:autoSpaceDN/>
        <w:spacing w:line="590" w:lineRule="exact"/>
        <w:rPr>
          <w:rFonts w:hint="eastAsia" w:ascii="黑体" w:hAnsi="宋体" w:eastAsia="黑体" w:cs="黑体"/>
          <w:kern w:val="0"/>
          <w:sz w:val="32"/>
          <w:szCs w:val="32"/>
        </w:rPr>
      </w:pPr>
      <w:r>
        <w:rPr>
          <w:rFonts w:hint="eastAsia" w:ascii="黑体" w:hAnsi="宋体" w:eastAsia="黑体" w:cs="黑体"/>
          <w:kern w:val="0"/>
          <w:sz w:val="32"/>
          <w:szCs w:val="32"/>
        </w:rPr>
        <w:t>第四部分 其他重要事项及相关口径情况说明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二、国有资产占用情况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三、政府采购支出情况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四、部门绩效自评情况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（一）部门整体支出绩效自评情况</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（二）部门整体支出绩效自评表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（三）项目支出绩效自评表</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五、其他重要事项情况说明</w:t>
      </w:r>
    </w:p>
    <w:p>
      <w:pPr>
        <w:keepNext w:val="0"/>
        <w:keepLines w:val="0"/>
        <w:widowControl w:val="0"/>
        <w:suppressLineNumbers w:val="0"/>
        <w:autoSpaceDE w:val="0"/>
        <w:autoSpaceDN/>
        <w:spacing w:line="590" w:lineRule="exact"/>
        <w:rPr>
          <w:rFonts w:hint="eastAsia" w:ascii="仿宋" w:hAnsi="仿宋" w:eastAsia="仿宋" w:cs="仿宋"/>
          <w:kern w:val="0"/>
          <w:sz w:val="32"/>
          <w:szCs w:val="32"/>
        </w:rPr>
      </w:pPr>
      <w:r>
        <w:rPr>
          <w:rFonts w:hint="eastAsia" w:ascii="仿宋" w:hAnsi="仿宋" w:eastAsia="仿宋" w:cs="仿宋"/>
          <w:kern w:val="0"/>
          <w:sz w:val="32"/>
          <w:szCs w:val="32"/>
        </w:rPr>
        <w:t>六、相关口径说明</w:t>
      </w:r>
    </w:p>
    <w:p>
      <w:pPr>
        <w:keepNext w:val="0"/>
        <w:keepLines w:val="0"/>
        <w:widowControl w:val="0"/>
        <w:suppressLineNumbers w:val="0"/>
        <w:autoSpaceDE w:val="0"/>
        <w:autoSpaceDN/>
        <w:spacing w:line="590" w:lineRule="exact"/>
        <w:rPr>
          <w:rFonts w:hint="eastAsia" w:ascii="黑体" w:hAnsi="宋体" w:eastAsia="黑体" w:cs="黑体"/>
          <w:kern w:val="0"/>
          <w:sz w:val="32"/>
          <w:szCs w:val="32"/>
        </w:rPr>
      </w:pPr>
      <w:r>
        <w:rPr>
          <w:rFonts w:hint="eastAsia" w:ascii="黑体" w:hAnsi="宋体" w:eastAsia="黑体" w:cs="黑体"/>
          <w:kern w:val="0"/>
          <w:sz w:val="32"/>
          <w:szCs w:val="32"/>
        </w:rPr>
        <w:t>第五部分 名词解释</w:t>
      </w:r>
    </w:p>
    <w:p>
      <w:pPr>
        <w:keepNext w:val="0"/>
        <w:keepLines w:val="0"/>
        <w:widowControl/>
        <w:suppressLineNumbers w:val="0"/>
        <w:autoSpaceDE w:val="0"/>
        <w:autoSpaceDN w:val="0"/>
        <w:spacing w:before="0" w:beforeAutospacing="0" w:after="0" w:afterAutospacing="0" w:line="600" w:lineRule="atLeast"/>
        <w:ind w:left="0" w:right="0"/>
        <w:jc w:val="left"/>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第一部分  澄江市工业商贸和科技信息局概况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一、主要职能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（一）主要职能</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贯彻落实国家、省、市工业和信息化、内外贸易、科技发展、知识产权保护、专利的方针政策和法律法规；研究提出地方性工业行业规章和产业导向，拟定澄江市内外贸易发展；制定澄江市科技发展和知识产权保护年度计划和中长期发展规划；研究提出澄江市内外贸易的相关政策和规范性文件，制定具体实施办法并组织实施；贯彻国务院、省政府对东盟、港、澳、台和国别经贸政策；落实省委、省政府、市委、市政府关于对内对外开放的工作部署。</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2.贯彻澄江市委、市政府工业强县战略，推进新型工业化进程，走可持续发展道路；指导工业产业结构调整，促进各产业之间的协调发展；优化生产布局，促进资源优化配置，指导工业行业进行制度创新和管理创新；引导产业集群发展。</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3.负责澄江市工业经济信息收集、整理、分析和发布；监测分析工业经济运行态势，编制工业经济运行调控方案；研究提出工业经济调控的举措与建议；协调解决工业经济运行中的重大问题，建立和完善产业预警机制。</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4.贯彻执行国家产业政策，结合实际提出鼓励、限制和淘汰的生产能力、工艺和产品目录；研究组织实施行业整合。</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5.贯彻执行国家企业技术进步政策，研究提出支持澄江市工业企业技术创新、技术引进、重大装备国产化和重大技术装备项目的方案；提出引导工业企业技术进步的有关政策措施；负责县级权限范围内工业企业技术改造项目的登记备案，上报市级审批的工业企业技术改造项目审核。</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6.对澄江市特色工业进行指导服务；拟定地方性行业发展规划、行业规章和产业技术政策，并组织实施；指导和推动企业按照《中华人民共和国清洁生产促进法</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和</w:t>
      </w:r>
      <w:r>
        <w:rPr>
          <w:rFonts w:hint="eastAsia" w:ascii="仿宋" w:hAnsi="仿宋" w:eastAsia="仿宋" w:cs="仿宋"/>
          <w:kern w:val="2"/>
          <w:sz w:val="32"/>
          <w:szCs w:val="32"/>
        </w:rPr>
        <w:t>《中华人民共和国节约能源法》实施清洁生产；对资源综合利用和再生资源回收申报企业进行初审上报；指导和监督企业抓好资源节约，节能降耗和综合利用。</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7.调查分析相关行业、产品生产和市场供需情况；负责协调澄江市能源及重要物资的紧急调度工作；负责辖区内电力供需协调；指导澄江市盐务管理工作。</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8.研究非公经济的状况，提出优化所有制结构和企业组织结构的建议；贯彻《中华人民共和国中小企业促进法》等法律、法规，研究提出推进非公经济共同发展的政策措施；加强宏观指导，协调解决发展中的重大问题；负责相关统计和运行情况分析。</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9.指导和实施澄江市工业经济管理干部、工业企业经营管理者和职工的培训教育；负责澄江市企业工程、经济系列专业技术中高级职称组织申报工作；实施人才战略，拟定和推进澄江市重点企业队伍建设的培训教育规划；协同有关部门做好企业智力引进工作。</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10.研究提出流通体制改革意见，培育、发展和繁荣城乡市场，优化流通产业结构、推进连锁经营、物流配送、电子商务等现代流通方式；参与研究建立健全统一、开放、竞争、有序的市场体系；监测分析澄江市市场运行和商品供求状况，配合实施重要消费品市场调控。</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11.贯彻国家进出口商品管理办法和进出口商品目录，为澄江市进出口企业提供信息和服务；贯彻国家对外技术贸易、进出口管制以及鼓励技术和成套设备出口的政策；会同有关部门，组织实施对其他国家的贸易、投资和经济合作活动；按省、市进出口贸易标准化体系建设要求，推进澄江市进出口贸易标准化体系建设；对澄江市技术引进、设备出口、国家限制出口的技术和引进技术的出口与再出口工作进行协调；协调与澄江市有关的反倾销、反补贴、保障措施及其他与进出口公平贸易相关的工作。</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12.负责澄江市对外经济合作工作；执行对外经济合作政策，指导和监督对外承包工程、劳务合作、设计咨询等对外经济合作业务；转报澄江市企业对国外投资开办企业（金融企业除外）并实施监督管理。</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13.归口管理澄江市内外贸易，并负责与此相关的业务统计；负责澄江市内外贸易及对外经济合作信息化建设。</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14.负责知识产权工作的宏观管理，指导行业知识产权工作的开展；配合专利执法；负责专利市场的规划和管理；开展知识产权的宣传与培训。</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15.综合管理澄江市科技成果、科技奖励、科学技术工作，管理和监督科技项目的实施，研究多渠道增加科技投入的措施。</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16.负责高新技术产业化和先进适用技术的推广应用以及高新技术企业认定的上报。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17.组织澄江市内企事业单位同省内外大专院校、科研院所的科技合作与交流、澄江市内企业实施科技合作项目。组织、协调、配合有关部门、企业、事业单位及社会力量开展科技试验、示范及推广，开展科技创新、新产品的研究开发。</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18.组织专家对先进技术的引进、重大技术改造、重点科技建设项目进行前期调研、评估和论证。研究科技人才资源的合理配置，制定科技人才队伍建设的规划、政策、措施，组织开展中青年学科带头人的选拔、培养和引进工作。</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19.指导协调电子政务、电子商务及社会信息化发展，推进信息技术的推广应用，促进工业和信息化融合。</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20.配合上级部门做好澄江市无线电管理相关工作。</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21.承办澄江市委、市人民政府和上级机关交办的其他事项。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（二）2022年度重点工作任务概述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一是制定计划出台政策。为有效推动农业企业农工分离、农贸分离，工业企业工贸分离工作，着力促进全市商贸经济平稳健康发展，制定《澄江市促进商贸高质量发展奖励实施办法（2022—2025年）》（澄政办</w:t>
      </w:r>
      <w:r>
        <w:rPr>
          <w:rFonts w:hint="eastAsia" w:ascii="仿宋" w:hAnsi="仿宋" w:eastAsia="仿宋" w:cs="仿宋"/>
          <w:kern w:val="2"/>
          <w:sz w:val="32"/>
          <w:szCs w:val="32"/>
          <w:lang w:eastAsia="zh-CN"/>
        </w:rPr>
        <w:t>发</w:t>
      </w:r>
      <w:r>
        <w:rPr>
          <w:rFonts w:hint="eastAsia" w:ascii="仿宋" w:hAnsi="仿宋" w:eastAsia="仿宋" w:cs="仿宋"/>
          <w:kern w:val="2"/>
          <w:sz w:val="32"/>
          <w:szCs w:val="32"/>
        </w:rPr>
        <w:t>〔2022〕102号）。并为深入贯彻落实产业强省三年行动，持续深化“玉溪之变”，结合澄江实际，制定印发《澄江市</w:t>
      </w:r>
      <w:bookmarkStart w:id="0" w:name="_GoBack"/>
      <w:bookmarkEnd w:id="0"/>
      <w:r>
        <w:rPr>
          <w:rFonts w:hint="eastAsia" w:ascii="仿宋" w:hAnsi="仿宋" w:eastAsia="仿宋" w:cs="仿宋"/>
          <w:kern w:val="2"/>
          <w:sz w:val="32"/>
          <w:szCs w:val="32"/>
        </w:rPr>
        <w:t>关于贯彻落实&lt;云南省生物医药产业三年行动（2022-2024年）&gt;的实施方案》（澄政办发〔2022〕103号），切实推动澄江市生物医药及医疗器械制造业高质量发展。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二是推动科创培育升级。围绕提升产业基础高级化、产业链现代化水平，坚持培育企业与做强产业相结合，分层培育“专精特新”中小企业群体，分类促进企业做精做强做大，加快完善企业梯度培育体系。现已培育国家级专精特新“小巨人”企业1户（云南澄江华业磷化工有限责任公司）、省级专精特新“成长”企业10户、省级绿色工厂1个，宝泰、龙凤、三创3户工业企业通过高新技术企业认定。推荐云南澄江华业磷化工有限责任公司申报省级企业技术中心，推荐云南澄江天辰磷肥有限公司申报玉溪市级企业技术中心。2022年，全市高新技术企业新增4户，达14户。并培育云南省科技型中小企业8户，培育国家级科技型中小企业13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三是做好无线电管理和通信基站建设工作。积极联系三大运营商，及时掌握基站运行情况，对有无黑基站进行监控，保障人民群众手机通讯安全。积极做好通讯基础设施建设工作,协调三大运营商，继续深化推进“宽带乡村”、“宽带中国”、“光网改造”等工作，做好我市通信网络覆盖。截</w:t>
      </w:r>
      <w:r>
        <w:rPr>
          <w:rFonts w:hint="eastAsia" w:ascii="仿宋" w:hAnsi="仿宋" w:eastAsia="仿宋" w:cs="仿宋"/>
          <w:kern w:val="2"/>
          <w:sz w:val="32"/>
          <w:szCs w:val="32"/>
          <w:lang w:val="en-US" w:eastAsia="zh-CN"/>
        </w:rPr>
        <w:t>至</w:t>
      </w:r>
      <w:r>
        <w:rPr>
          <w:rFonts w:hint="eastAsia" w:ascii="仿宋" w:hAnsi="仿宋" w:eastAsia="仿宋" w:cs="仿宋"/>
          <w:kern w:val="2"/>
          <w:sz w:val="32"/>
          <w:szCs w:val="32"/>
        </w:rPr>
        <w:t>目前，市内所有行政村所在地100-1000M家庭宽带光纤接入及4G信号实现全覆盖；市教育局下属的村小、中心小学、中学全部实现互联网1000M宽带接入；各行政村村卫生室实现光纤全覆盖。全市主要交通道路及主要景区手机信号实现了全部覆盖。积极协调三大运营商贯彻落实全市新型基础设施建设工作，加快推进我市5G基站建设，助推数字经济发展，现已建成5G站点443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rPr>
        <w:t>二、部门基本情况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（一）机构设置情况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我部门共设置7个内设机构，包括：办公室</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工业企业和安全生产管理股、科技股、商贸股、数字经济办公室和无线电股、经济运行和节能股、中小企业股。</w:t>
      </w:r>
      <w:r>
        <w:rPr>
          <w:rFonts w:hint="eastAsia" w:ascii="仿宋" w:hAnsi="仿宋" w:eastAsia="仿宋" w:cs="仿宋"/>
          <w:kern w:val="2"/>
          <w:sz w:val="32"/>
          <w:szCs w:val="32"/>
          <w:lang w:val="en-US" w:eastAsia="zh-CN"/>
        </w:rPr>
        <w:t>所属单位2个，分别是：</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rPr>
        <w:t>1.澄江市工业商贸和科技信息局（本级）。</w:t>
      </w:r>
    </w:p>
    <w:p>
      <w:pPr>
        <w:pStyle w:val="2"/>
        <w:rPr>
          <w:rFonts w:hint="default"/>
          <w:lang w:val="en-US" w:eastAsia="zh-CN"/>
        </w:rPr>
      </w:pPr>
      <w:r>
        <w:rPr>
          <w:rFonts w:hint="eastAsia" w:ascii="仿宋" w:hAnsi="仿宋" w:eastAsia="仿宋" w:cs="仿宋"/>
          <w:kern w:val="2"/>
          <w:sz w:val="32"/>
          <w:szCs w:val="32"/>
        </w:rPr>
        <w:t>2.澄江市商务主体服务中心。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（二）决算单位构成</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rPr>
        <w:t>纳入澄江市工业商贸和科技信息局2022年度部门决算编报的单位共2个。其中：行政单位1个，参照公务员法管理的事业单位0个，其他事业单位1个。分别是：</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rPr>
        <w:t>1.澄江市工业商贸和科技信息局（本级）。</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rPr>
        <w:t>2.澄江市商务主体服务中心。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 xml:space="preserve">（三）部门人员和车辆的编制及实有情况 </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default" w:ascii="仿宋" w:hAnsi="仿宋" w:eastAsia="仿宋" w:cs="仿宋"/>
          <w:kern w:val="2"/>
          <w:sz w:val="32"/>
          <w:szCs w:val="32"/>
        </w:rPr>
      </w:pPr>
      <w:r>
        <w:rPr>
          <w:rFonts w:hint="default" w:ascii="仿宋" w:hAnsi="仿宋" w:eastAsia="仿宋" w:cs="仿宋"/>
          <w:kern w:val="2"/>
          <w:sz w:val="32"/>
          <w:szCs w:val="32"/>
        </w:rPr>
        <w:t>澄江市工业商贸和科技信息局2022年末实有人员编制18人。其中：行政编制13人（含行政工勤编制1人），事业编制5人（含参公管理事业编制0人）；在职在编实有行政人员21人（含行政工勤人员2人），事业人员4人（含参公管理事业人员0人）。</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default" w:ascii="仿宋" w:hAnsi="仿宋" w:eastAsia="仿宋" w:cs="仿宋"/>
          <w:kern w:val="2"/>
          <w:sz w:val="32"/>
          <w:szCs w:val="32"/>
        </w:rPr>
      </w:pPr>
      <w:r>
        <w:rPr>
          <w:rFonts w:hint="default" w:ascii="仿宋" w:hAnsi="仿宋" w:eastAsia="仿宋" w:cs="仿宋"/>
          <w:kern w:val="2"/>
          <w:sz w:val="32"/>
          <w:szCs w:val="32"/>
        </w:rPr>
        <w:t>尚未移交养老保险基金发放养老金的离退休人员共计0人（离休0人，退休0人）；由养老保险基金发放养老金的离退休人员43人（离休0人，退休43人）。</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90" w:lineRule="exact"/>
        <w:ind w:left="0" w:firstLine="646"/>
        <w:jc w:val="left"/>
        <w:textAlignment w:val="auto"/>
        <w:rPr>
          <w:rFonts w:hint="default" w:ascii="仿宋" w:hAnsi="仿宋" w:eastAsia="仿宋" w:cs="仿宋"/>
          <w:kern w:val="2"/>
          <w:sz w:val="32"/>
          <w:szCs w:val="32"/>
        </w:rPr>
      </w:pPr>
      <w:r>
        <w:rPr>
          <w:rFonts w:hint="default" w:ascii="仿宋" w:hAnsi="仿宋" w:eastAsia="仿宋" w:cs="仿宋"/>
          <w:kern w:val="2"/>
          <w:sz w:val="32"/>
          <w:szCs w:val="32"/>
        </w:rPr>
        <w:t>实有车辆编制4辆，在编实有车辆0辆。</w:t>
      </w:r>
    </w:p>
    <w:p>
      <w:pPr>
        <w:pStyle w:val="2"/>
        <w:keepNext w:val="0"/>
        <w:keepLines w:val="0"/>
        <w:widowControl/>
        <w:suppressLineNumbers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第二部分  2022年度部门决算表</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（详见附件）</w:t>
      </w:r>
    </w:p>
    <w:p>
      <w:pPr>
        <w:keepNext w:val="0"/>
        <w:keepLines w:val="0"/>
        <w:widowControl w:val="0"/>
        <w:suppressLineNumbers w:val="0"/>
        <w:autoSpaceDE w:val="0"/>
        <w:autoSpaceDN/>
        <w:spacing w:line="59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澄江市工业商贸和科技信息局2022年没有国有资本经营预算财政拨款收入，也没有使用国有资本经营预算财政拨款安排的支出，《国有资本经营预算财政拨款收入支出决算表》为空表。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autoSpaceDE w:val="0"/>
        <w:autoSpaceDN/>
        <w:spacing w:line="590" w:lineRule="exac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第三部分  2022年度部门决算情况说明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一、收入决算情况说明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澄江市工业商贸和科技信息局2022年度收入合计26,324,119.87元。其中：财政拨款收入26,324,119.87元，占总收入的100.00%；上级补助收入0.00元，占总收入的0.00%；事业收入0.00元（含教育收费0.00元），占总收入的0.00%；经营收入0.00元，占总收入的0.00%；附属单位缴款收入0.00元，占总收入的0.00%；其他收入0.00元，占总收入的0.00%。与上年相比，收入合计增加5,546,218.97元，增长26.69%。其中：财政拨款收入增加5,546,218.97元，增长26.69%；上级补助收入增加0.00元，增长0.00%；事业收入增加0.00元，增长0.00%；经营收入增加0.00元，增长0.00%；附属单位上缴收入增加0.00元，增长0.00%；其他收入增加0.00元，增长0.00%。主要原因为：2022年工业经济发展专项资金收入增加。</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二、支出决算情况说明</w:t>
      </w:r>
    </w:p>
    <w:p>
      <w:pPr>
        <w:keepNext w:val="0"/>
        <w:keepLines w:val="0"/>
        <w:widowControl/>
        <w:suppressLineNumbers w:val="0"/>
        <w:autoSpaceDE w:val="0"/>
        <w:autoSpaceDN w:val="0"/>
        <w:spacing w:before="0" w:beforeAutospacing="0" w:after="0" w:afterAutospacing="0" w:line="590" w:lineRule="exact"/>
        <w:ind w:left="0" w:right="0" w:firstLine="600"/>
        <w:jc w:val="both"/>
        <w:rPr>
          <w:rFonts w:hint="default" w:ascii="方正仿宋" w:hAnsi="方正仿宋" w:eastAsia="方正仿宋" w:cs="方正仿宋"/>
          <w:kern w:val="0"/>
          <w:sz w:val="30"/>
          <w:szCs w:val="30"/>
        </w:rPr>
      </w:pPr>
      <w:r>
        <w:rPr>
          <w:rFonts w:hint="eastAsia" w:ascii="仿宋" w:hAnsi="仿宋" w:eastAsia="仿宋" w:cs="仿宋"/>
          <w:kern w:val="2"/>
          <w:sz w:val="32"/>
          <w:szCs w:val="32"/>
        </w:rPr>
        <w:t>澄江市工业商贸和科技信息局2022年度支出合计26,328,335.87元。其中：基本支出6,372,164.40元，占总支出的24.20%；项目支出19,956,171.47元，占总支出的75.80%；上缴上级支出0.00元，占总支出的0.00</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；经营支出0.00元，占总支出的0.00</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；对附属单位补助支出0.00元，占总支出的0.00</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与上年相比，支出合计增加5,546,119.17元，增长26.69%。其中：基本支出减少914,380.95元，下降12.55%；项目支出增加6,460,500.12元，增长47.87%；上缴上级支出增加0.00元，增长0.00%；经营支出增加0.00元，增长0.00%；对附属单位补助支出增加0.00元，增长0.00%。主要原因为：2022年对澄江市工业园区管理委员会拨付工业经济发展专项资金增加，导致总体支出增加。</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（一）基本支出情况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2022年度用于保障澄江市工业商贸和科技信息局机关、下属事业单位等机构正常运转的日常支出6,372,164.40元。其中：基本工资、津贴补贴等人员经费支出5,820,656.59元，占基本支出的91.35</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；办公费、印刷费、水电费、办公设备购置等公用经费551,507.81元，占基本支出的8.65</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。人均使用254,886.58元。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（二）项目支出情况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2022年度用于保障澄江市工业商贸和科技信息局机构、下属事业单位等机构为完成特定的行政工作任务或事业发展目标，用于专项业务工作的经费支出19,956,171.47元。其中：基本建设类项目支出0.00元。具体项目开支及开展工作情况如下：</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1.2021年污水处理厂及配套设施建设专项资金3,000,000.00元，主要用于拨付澄江工业园区管理委员会污水处理厂及配套设施建设。</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2.工业发展专项资金8,566,429.47元，主要用于：一是支付工业发展专项资金至澄江工业园区管理委员会用于园区基础设施建设。</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3.2022年科技创新人才培养选拔补助5,526.00元，用于科技创新人才补助。</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4.高新技术企业认定补助经费1,380,000.00元，拨付新认定高新技术企业奖补。</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5.拨付工业经济发展专项资金7,000,000.00元，拨付澄江工业园区管理委员会用于园区基础设施建设。</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6.招商引资工作经费4,216.00元，用于支付2022年招商引资工作中接待客商支出。</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三、一般公共预算财政拨款支出决算情况说明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（一）一般公共预算财政拨款支出决算总体情况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澄江市工业商贸和科技信息局2022年度一般公共预算财政拨款支出16,377,690.40元，占本年支出合计的62.21%。与上年相比增加7,139,789.50元，增长77.29%，主要原因是本年度实施项目增加，项目支出增加。</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（二）一般公共预算财政拨款支出决算具体情况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1.一般公共服务（类）支出109,523.94元，占一般公共预算财政拨款总支出的0.67%。主要用于工资福利奖金支出109,523.94元。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2.外交（类）支出0.00元，占一般公共预算财政拨款总支出的0.00%。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3.国防（类）支出0.00元，占一般公共预算财政拨款总支出的0.00%。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4.公共安全（类）支出0.00元，占一般公共预算财政拨款总支出的0.00%。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5.教育（类）支出0.00元，占一般公共预算财政拨款总支出的0.00%。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6.科学技术（类）支出5,526.00元，占一般公共预算财政拨款总支出的0.03%。主要用于其他技术研究与开发支出5,526.00元。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7.文化旅游体育与传媒（类）支出0.00元，占一般公共预算财政拨款总支出的0.00%。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8.社会保障和就业（类）支出1,575,058.07元，占一般公共预算财政拨款总支出的9.62%。主要用于机关事业单位基本养老保险缴费支出402,198.08元，机关事业单位职业年金缴费支出56,981.99元，及行政单位离退休支出676,000.00元，死亡抚恤439,878.00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9.卫生健康（类）支出490,364.73元，占一般公共预算财政拨款总支出的2.99%。</w:t>
      </w:r>
      <w:r>
        <w:rPr>
          <w:rFonts w:hint="eastAsia" w:ascii="仿宋" w:hAnsi="仿宋" w:eastAsia="仿宋" w:cs="仿宋"/>
          <w:kern w:val="0"/>
          <w:sz w:val="32"/>
          <w:szCs w:val="32"/>
        </w:rPr>
        <w:t>主要用于行政单位医疗222,271.76元、事业单位医疗8,092.67元、公务员医疗补助260,000.30元。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10.节能环保（类）支出3,000,000.00元，占一般公共预算财政拨款总支出的18.32%。主要用于其他节能环保支出3,000,000.00元。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11.城乡社区（类）支出0.00元，占一般公共预算财政拨款总支出的0.00%。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12.农林水（类）支出0.00元，占一般公共预算财政拨款总支出的0.00%。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13.交通运输（类）支出0.00元，占一般公共预算财政拨款总支出的0.00%。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14.资源勘探工业信息等（类）支出类10,775,259.66元，占一般公共预算财政拨款总支出的65.79%。主要用于行政运行3,433,306.99元，事业运行346,168.67元，其他资源勘探工业信息等支出7,000,000.00元。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15.商业服务业等（类）支出0.00元，占一般公共预算财政拨款总支出的0.00%。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16.金融（类）支出0.00元，占一般公共预算财政拨款总支出的0.00%。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17.援助其他地区（类）支出0.00元，占一般公共预算财政拨款总支出的0.00%。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18.自然资源海洋气象等（类）支出0.00元，占一般公共预算财政拨款总支出的0.00%。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19.住房保障（类）支出421,958.00元，占一般公共预算财政拨款总支出的2.58%。主要用于住房公积金407,270.00元，购房补贴14,688.00元。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20.粮油物资储备（类）支出0.00元，占一般公共预算财政拨款总支出的0.00%。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21.国有资本经营预算（类）支出0.00元，占一般公共预算财政拨款总支出的0.00%。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22.灾害防治及应急管理（类）支出0.00元，占一般公共预算财政拨款总支出的0.00%。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23.其他（类）支出0.00元，占一般公共预算财政拨款总支出的0.00%。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24.债务还本（类）支出0.00元，占一般公共预算财政拨款总支出的0.00%。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25.债务付息（类）支出0.00元，占一般公共预算财政拨款总支出的0.00%。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26.抗疫特别国债安排（类）支出0.00元，占一般公共预算财政拨款总支出的0.00%。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 xml:space="preserve">四、财政拨款“三公”经费支出决算情况说明 </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2022年度财政拨款“三公”经费支出决算中，财政拨款“三公”经费支出年初预算为22,600.00元，支出决算为2,148.00元，完成年初预算的9.50%。其中：因公出国（境）费支出决算0.00元，占总支出决算的0.00%；公务用车购置费支出决算0.00元，占总支出决算的0.00%；公务用车运行维护费支出决算0.00元，占总支出决算的0.00%；公务接待费支出决算2,148.00元，占总支出决算的100.00%，具体是国内接待费支出决算2,148.00元（其中：外事接待费支出决算0.00元），国（境）外接待费支出决算0.00元。明细情况如下：</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(一)一般公共预算财政拨款“三公”经费支出决算总体情况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澄江市工业商贸和科技信息局2022年度一般公共预算财政拨款“三公”经费支出年初预算为22,600.00元，支出决算为2,148.00元，完成年初预算的9.50%。其中：因公出国（境）费支出决算为0.00元，完成年初预算的0.00%；公务用车购置费支出决算为0.00元，完成年初预算的0.00%；公务用车运行维护费支出决算为0.00元，完成年初预算的0.00%；公务接待费支出决算为2,148.00元，完成年初预算的0.00%。2022年度一般公共预算财政拨款“三公”经费支出决算数小于年初预算数的主要原因是2022年疫情影响，检查及调研交流工作减少。</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2022年度一般公共预算财政拨款“三公”经费支出决算数比上年减少20,452.00元，下降90.50%。其中：因公出国（境）费支出决算增加0.00元，增长0.00%；公务用车购置费支出决算增加0.00元，增长0.00%；公务用车运行维护费支出决算增加0.00元，增长0.00%；公务接待费支出决算减少20,452.00元，下降90.50%。2022年度一般公共预算财政拨款“三公”经费支出决算减少的主要原因是2022年疫情影响，检查及调研交流工作减少，且</w:t>
      </w:r>
      <w:r>
        <w:rPr>
          <w:rFonts w:hint="eastAsia" w:ascii="仿宋" w:hAnsi="仿宋" w:eastAsia="仿宋" w:cs="仿宋"/>
          <w:kern w:val="0"/>
          <w:sz w:val="32"/>
          <w:szCs w:val="32"/>
        </w:rPr>
        <w:t>我单位认真贯彻落实厉行节约和上级有关政策，努力压缩一般性支出，尽力节约行政成本。</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(二)一般公共预算财政拨款“三公”经费支出实物量的具体情况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1.安排因公出国（境）团组0个，累计0人次。</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仿宋" w:hAnsi="仿宋" w:eastAsia="仿宋" w:cs="仿宋"/>
          <w:kern w:val="2"/>
          <w:sz w:val="32"/>
          <w:szCs w:val="32"/>
        </w:rPr>
        <w:t>2.购置车辆0辆。开支一般公共预算财政拨款的公务用车保有量为0辆。</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default" w:ascii="仿宋" w:hAnsi="仿宋" w:eastAsia="仿宋" w:cs="仿宋"/>
          <w:kern w:val="2"/>
          <w:sz w:val="32"/>
          <w:szCs w:val="32"/>
        </w:rPr>
        <w:t>3.安排国内公务接待3批次（其中：外事接待0批次），接待人次27人（其中：外事接待人次0人）。主要用于工业、商贸、科技、招商引资发生的接待支出。安排国（境）外公务接待0批次，接待人次0人。</w:t>
      </w:r>
    </w:p>
    <w:p>
      <w:pPr>
        <w:keepNext w:val="0"/>
        <w:keepLines w:val="0"/>
        <w:widowControl/>
        <w:suppressLineNumbers w:val="0"/>
        <w:autoSpaceDE w:val="0"/>
        <w:autoSpaceDN w:val="0"/>
        <w:spacing w:before="0" w:beforeAutospacing="0" w:after="0" w:afterAutospacing="0" w:line="590" w:lineRule="exact"/>
        <w:ind w:left="0" w:right="0" w:firstLine="600"/>
        <w:jc w:val="left"/>
        <w:rPr>
          <w:rFonts w:hint="eastAsia" w:ascii="宋体" w:hAnsi="宋体" w:eastAsia="宋体" w:cs="宋体"/>
          <w:kern w:val="0"/>
          <w:sz w:val="24"/>
          <w:szCs w:val="24"/>
        </w:rPr>
      </w:pPr>
      <w:r>
        <w:rPr>
          <w:rFonts w:hint="default" w:ascii="方正仿宋_GB2312" w:hAnsi="方正仿宋_GB2312" w:eastAsia="方正仿宋_GB2312" w:cs="方正仿宋_GB2312"/>
          <w:kern w:val="0"/>
          <w:sz w:val="30"/>
          <w:szCs w:val="30"/>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第四部分  其他重要事项及相关口径情况说明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一、机关运行经费支出情况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澄江市工业商贸和科技信息局2022年机关运行经费支出551,507.81元，减少177,590.66元，下降24.36%</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主要原因是差旅费及劳务费减少支出，导致机关运行经费支出减少。部门机关运行经费主要用于办公费72,653.90元，培训费18,564.75元，公务接待费2,148.00元，劳务费224,334.20元，工会经费52,506.96元，其他交通费181,300.00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二、国有资产占用情况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截至2022年12月31日，澄江市工业商贸和科技信息局资产总额3,563,127.95元，其中，流动资产1,303,205.65元，固定资产2,25</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22.30元，对外投资及有价证券0.00元，在建工程0.00元，无形资产2</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200.00元，其他资产0.00元（具体内容详见附表）。与上年相比，本年资产总额增加167,757.64元，其中固定资产增加0.00元。处置房屋建筑物0.00平方米，账面原值0.00元；处置车辆0辆，账面原值0.00元；报废报损资产0项，账面原值0.00元，实现资产处置收入0.00元；出租房屋0.00平方米，账面原值0.00元，实现资产使用收入0.00元。</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（国有资产占有使用情况表详见附表）</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三、政府采购支出情况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default" w:ascii="仿宋" w:hAnsi="仿宋" w:eastAsia="仿宋" w:cs="仿宋"/>
          <w:kern w:val="2"/>
          <w:sz w:val="32"/>
          <w:szCs w:val="32"/>
        </w:rPr>
        <w:t>2022年度，部门政府采购支出总额1,620.00元，其中：政府采购货物支出1,620.00元；政府采购工程支出0.00元；政府采购服务支出0.00元。授予中小企业合同金额0.00元，占政府采购支出总额的0.00%。</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四、部门绩效自评情况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部门绩效自评情况详见附表。</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五、其他重要事项情况说明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无。</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rPr>
        <w:t>六、相关口径说明</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（一）基本支出中人员经费包括工资福利支出和对个人和家庭的补助，公用经费包括商品和服务支出、资本性支出等人员经费以外的支出。</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（二）机关运行经费指行政单位和参照公务员法管理的事业单位使用财政拨款安排的基本支出中的公用经费支出。</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第五部分  名词解释</w:t>
      </w:r>
    </w:p>
    <w:p>
      <w:pPr>
        <w:keepNext w:val="0"/>
        <w:keepLines w:val="0"/>
        <w:widowControl w:val="0"/>
        <w:suppressLineNumbers w:val="0"/>
        <w:autoSpaceDE w:val="0"/>
        <w:autoSpaceDN/>
        <w:spacing w:line="590" w:lineRule="exact"/>
        <w:ind w:left="0" w:firstLine="640" w:firstLineChars="200"/>
        <w:rPr>
          <w:rFonts w:hint="eastAsia" w:ascii="宋体" w:hAnsi="宋体" w:eastAsia="宋体" w:cs="宋体"/>
          <w:kern w:val="0"/>
          <w:sz w:val="24"/>
          <w:szCs w:val="24"/>
        </w:rPr>
      </w:pPr>
      <w:r>
        <w:rPr>
          <w:rFonts w:hint="eastAsia" w:ascii="仿宋" w:hAnsi="仿宋" w:eastAsia="仿宋" w:cs="仿宋"/>
          <w:kern w:val="0"/>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监督索引号53042200347401111</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NWEzNGZlZjIxZDc4OThjMDY4Yzc0Yjg5ZDEwM2UifQ=="/>
  </w:docVars>
  <w:rsids>
    <w:rsidRoot w:val="00000000"/>
    <w:rsid w:val="050E2A62"/>
    <w:rsid w:val="07DE427B"/>
    <w:rsid w:val="09A61FF6"/>
    <w:rsid w:val="0B4A0DAB"/>
    <w:rsid w:val="10B91486"/>
    <w:rsid w:val="1EF108E0"/>
    <w:rsid w:val="337A05EF"/>
    <w:rsid w:val="45D36751"/>
    <w:rsid w:val="47A86F5D"/>
    <w:rsid w:val="4FA42161"/>
    <w:rsid w:val="5FB96B60"/>
    <w:rsid w:val="777E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2023-09-19T06:38:00Z</dcterms:created>
  <dc:creator>Administrator</dc:creator>
  <cp:lastModifiedBy>沈娇鑫</cp:lastModifiedBy>
  <dcterms:modified xsi:type="dcterms:W3CDTF">2023-10-27T07:45:54Z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60402450107C4B01895D6F667BF58B58_12</vt:lpwstr>
  </property>
  <property fmtid="{D5CDD505-2E9C-101B-9397-08002B2CF9AE}" pid="3" name="KSOProductBuildVer">
    <vt:lpwstr>2052-11.1.0.14235</vt:lpwstr>
  </property>
</Properties>
</file>