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ascii="微软雅黑" w:hAnsi="微软雅黑" w:eastAsia="微软雅黑" w:cs="微软雅黑"/>
          <w:i w:val="0"/>
          <w:caps w:val="0"/>
          <w:color w:val="000000"/>
          <w:spacing w:val="0"/>
          <w:sz w:val="24"/>
          <w:szCs w:val="24"/>
        </w:rPr>
      </w:pPr>
      <w:r>
        <w:rPr>
          <w:rStyle w:val="7"/>
          <w:rFonts w:ascii="Arial" w:hAnsi="Arial" w:eastAsia="微软雅黑" w:cs="Arial"/>
          <w:i w:val="0"/>
          <w:caps w:val="0"/>
          <w:color w:val="000000"/>
          <w:spacing w:val="0"/>
          <w:sz w:val="36"/>
          <w:szCs w:val="36"/>
          <w:shd w:val="clear" w:fill="FFFFFF"/>
        </w:rPr>
        <w:t>监督索引号</w:t>
      </w:r>
      <w:r>
        <w:rPr>
          <w:rStyle w:val="7"/>
          <w:rFonts w:hint="default" w:ascii="Arial" w:hAnsi="Arial" w:eastAsia="微软雅黑" w:cs="Arial"/>
          <w:i w:val="0"/>
          <w:caps w:val="0"/>
          <w:color w:val="000000"/>
          <w:spacing w:val="0"/>
          <w:sz w:val="36"/>
          <w:szCs w:val="36"/>
          <w:shd w:val="clear" w:fill="FFFFFF"/>
        </w:rPr>
        <w:t>53042200635800000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ascii="方正小标宋_GBK" w:hAnsi="方正小标宋_GBK" w:eastAsia="方正小标宋_GBK" w:cs="方正小标宋_GBK"/>
          <w:i w:val="0"/>
          <w:caps w:val="0"/>
          <w:color w:val="000000"/>
          <w:spacing w:val="0"/>
          <w:sz w:val="43"/>
          <w:szCs w:val="43"/>
          <w:shd w:val="clear" w:fill="FFFFFF"/>
        </w:rPr>
      </w:pPr>
      <w:r>
        <w:rPr>
          <w:rFonts w:ascii="方正小标宋_GBK" w:hAnsi="方正小标宋_GBK" w:eastAsia="方正小标宋_GBK" w:cs="方正小标宋_GBK"/>
          <w:i w:val="0"/>
          <w:caps w:val="0"/>
          <w:color w:val="000000"/>
          <w:spacing w:val="0"/>
          <w:sz w:val="43"/>
          <w:szCs w:val="43"/>
          <w:shd w:val="clear" w:fill="FFFFFF"/>
        </w:rPr>
        <w:t>澄江化石地世界自然遗产管理委员会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微软雅黑" w:hAnsi="微软雅黑" w:eastAsia="微软雅黑" w:cs="微软雅黑"/>
          <w:i w:val="0"/>
          <w:caps w:val="0"/>
          <w:color w:val="000000"/>
          <w:spacing w:val="0"/>
          <w:sz w:val="24"/>
          <w:szCs w:val="24"/>
        </w:rPr>
      </w:pPr>
      <w:r>
        <w:rPr>
          <w:rFonts w:ascii="方正小标宋_GBK" w:hAnsi="方正小标宋_GBK" w:eastAsia="方正小标宋_GBK" w:cs="方正小标宋_GBK"/>
          <w:i w:val="0"/>
          <w:caps w:val="0"/>
          <w:color w:val="000000"/>
          <w:spacing w:val="0"/>
          <w:sz w:val="43"/>
          <w:szCs w:val="43"/>
          <w:shd w:val="clear" w:fill="FFFFFF"/>
        </w:rPr>
        <w:t>2023年部门预算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微软雅黑" w:hAnsi="微软雅黑" w:eastAsia="微软雅黑" w:cs="微软雅黑"/>
          <w:i w:val="0"/>
          <w:caps w:val="0"/>
          <w:color w:val="000000"/>
          <w:spacing w:val="0"/>
          <w:sz w:val="24"/>
          <w:szCs w:val="24"/>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微软雅黑" w:hAnsi="微软雅黑" w:eastAsia="微软雅黑" w:cs="微软雅黑"/>
          <w:i w:val="0"/>
          <w:caps w:val="0"/>
          <w:color w:val="000000"/>
          <w:spacing w:val="0"/>
          <w:sz w:val="24"/>
          <w:szCs w:val="24"/>
        </w:rPr>
      </w:pPr>
      <w:r>
        <w:rPr>
          <w:rFonts w:hint="eastAsia" w:ascii="方正小标宋_GBK" w:hAnsi="方正小标宋_GBK" w:eastAsia="方正小标宋_GBK" w:cs="方正小标宋_GBK"/>
          <w:i w:val="0"/>
          <w:caps w:val="0"/>
          <w:color w:val="000000"/>
          <w:spacing w:val="0"/>
          <w:sz w:val="36"/>
          <w:szCs w:val="36"/>
          <w:shd w:val="clear" w:fill="FFFFFF"/>
        </w:rPr>
        <w:t>目录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第一部分 澄江化石地世界自然遗产管理委员会2023年部门预算编制说明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ascii="仿宋" w:hAnsi="仿宋" w:eastAsia="仿宋" w:cs="仿宋"/>
          <w:i w:val="0"/>
          <w:caps w:val="0"/>
          <w:color w:val="000000"/>
          <w:spacing w:val="0"/>
          <w:sz w:val="31"/>
          <w:szCs w:val="31"/>
          <w:shd w:val="clear" w:fill="FFFFFF"/>
        </w:rPr>
        <w:t>一、基本职能及主要工作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二、预算单位基本情况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三、预算单位收入情况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四、预算单位支出情况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五、市对下专项转移支付情况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六、政府采购预算情况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七、部门“三公”经费增减变化情况及原因说明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八、重点项目预算绩效目标情况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九、其他公开信息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第二部分 澄江化石地世界自然遗产管理委员会2023年部门预算表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一、部门财务收支预算总表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二、部门收入预算表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三、部门支出预算表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四、财政拨款收支预算总表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五、一般公共预算支出预算表（按功能科目分类）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六、一般公共预算“三公”经费支出预算表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七、部门基本支出预算表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八、部门项目支出预算表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九、部门项目绩效目标表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十、政府性基金预算支出预算表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十一、部门政府采购预算表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十二、政府购买服务预算表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十三、市对下转移支付预算表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十四、市对下转移支付绩效目标表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十五、新增资产配置表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十六、上级补助项目支出预算表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十七、部门项目中期规划预算表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rPr>
          <w:rFonts w:hint="eastAsia" w:ascii="微软雅黑" w:hAnsi="微软雅黑" w:eastAsia="微软雅黑" w:cs="微软雅黑"/>
          <w:i w:val="0"/>
          <w:caps w:val="0"/>
          <w:color w:val="000000"/>
          <w:spacing w:val="0"/>
          <w:sz w:val="24"/>
          <w:szCs w:val="24"/>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微软雅黑" w:hAnsi="微软雅黑" w:eastAsia="微软雅黑" w:cs="微软雅黑"/>
          <w:i w:val="0"/>
          <w:caps w:val="0"/>
          <w:color w:val="000000"/>
          <w:spacing w:val="0"/>
          <w:sz w:val="24"/>
          <w:szCs w:val="24"/>
        </w:rPr>
      </w:pPr>
      <w:r>
        <w:rPr>
          <w:rFonts w:hint="eastAsia" w:ascii="方正小标宋_GBK" w:hAnsi="方正小标宋_GBK" w:eastAsia="方正小标宋_GBK" w:cs="方正小标宋_GBK"/>
          <w:i w:val="0"/>
          <w:caps w:val="0"/>
          <w:color w:val="000000"/>
          <w:spacing w:val="0"/>
          <w:sz w:val="43"/>
          <w:szCs w:val="43"/>
          <w:shd w:val="clear" w:fill="FFFFFF"/>
        </w:rPr>
        <w:t>澄江化石地世界自然遗产管理委员会2023年部门预算编制说明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 w:firstLineChars="200"/>
        <w:jc w:val="center"/>
        <w:textAlignment w:val="auto"/>
        <w:rPr>
          <w:rFonts w:hint="eastAsia" w:ascii="微软雅黑" w:hAnsi="微软雅黑" w:eastAsia="微软雅黑" w:cs="微软雅黑"/>
          <w:i w:val="0"/>
          <w:caps w:val="0"/>
          <w:color w:val="000000"/>
          <w:spacing w:val="0"/>
          <w:sz w:val="24"/>
          <w:szCs w:val="24"/>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一、基本职能及主要工作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ascii="楷体" w:hAnsi="楷体" w:eastAsia="楷体" w:cs="楷体"/>
          <w:i w:val="0"/>
          <w:caps w:val="0"/>
          <w:color w:val="000000"/>
          <w:spacing w:val="0"/>
          <w:sz w:val="32"/>
          <w:szCs w:val="32"/>
          <w:shd w:val="clear" w:fill="FFFFFF"/>
        </w:rPr>
        <w:t>（一）部门主要职责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认真贯彻执行国家风景名胜区、自然保护区、世界遗产地和地质遗迹保护和管理的法律、法规和政策；加强对自然保护区、世界遗产地和地质遗迹的保护与管理；依法对化石地和地质公园内占用土地和工程建设项目的审查和监督，加强对化石地和地质公园的基础设施及其公共设施的建设、保护和维护管理；按照规划做好化石地和地质公园资源及其旅游资源的开发与利用不断改善旅游综合服务的基础设施条件；积极配合市委、市政府做好化石地和地质公园的管理与开发，同时做好与周边群众的沟通、协调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（二）机构设置情况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我部门共设置4个内设机构，包括：办公室、规划建设科、保护管理科、科普宣教科。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所属单位2个，分别是：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1.澄江化石地世界自然遗产管理委员会（本级）。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2.澄江化石地自然博物馆。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（三）重点工作概述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根据上述职责，澄江化石地世界自然遗产管理委员会2023年的重点工作是：1.深入探索生物多样性保护与发展的有效路径，打好澄江化石地和抚仙湖生态环境保护“组合拳”。2.依托澄江现有的所有文旅资源，加强与文旅、教体等部门的协调配合，通过野外课堂、化石采集修复、生物多样性等研学项目，设置精品路线，吸引省内外学校、机关、企事业等到博物馆开展研学、科普、团建活动，如夏令营、论坛、行业培训等。3.借助澄江化石地世界自然遗产博物馆公共服务传播平台，与玉溪、澄江两级科协合作共建创新科技馆，通过常设和展览，以参与、体验、互动性的天文、地理、化学等展品及辅助性展示手段，打造与博物馆、研学、科普等为一体的澄江文旅项目精品胜地。4.加大博物馆上划工作的请示汇报力度，力争早日解决债权债务问题，理顺博物馆的管理机制体制，落实运营维护经费保障，确保博物馆藏品管理、展览、展陈、科普研学等综合职能作用得到充分发挥。5.依托博物馆建设“国家级澄江化石地寒武纪生命大爆发研究中心”的平台载体，通过团队投建、合作共建、柔性（刚性）引进人才等方式招引国内外一流专家学者组建一流科研团队，深入开展化石地规划建设、科普教育、文创、人类社会学研究与实践，形成寒武纪生物化石自然科学研究新高地发展态势，对国内外涉及澄江化石相关学术研究成果进行表彰鼓励。6.按照2021年6月23日省委省政府玉溪现场办公会要求，对标国内一流、国际领先建设目标，积极推进数字博物馆建设项目申报工作。7.在4A级景区基础上按照打造一流旅游设施、开拓丰富旅游产品、提升景区服务水平等目标开拓创新，积极对照5A级景区标准开展5A级景区创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二、预算单位基本情况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我部门编制2023年部门预算单位共2个。其中：财政全额供给单位2个；差额供给单位0个；定额补助单位0个；自收自支单位0个。财政全额供给单位中行政单位0个；参公单位1个；事业单位1个。截至2022年12月统计，部门基本情况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在职人员编制46人，其中：行政编制23人，工勤人员编制0人，事业编制23人。在职实有43人，其中：财政全额保障43人，财政差额补助0人，财政专户资金、单位资金保障0人。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离退休人员10人，其中：离休0人，退休10人。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车辆编制0辆，实有车辆0辆。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三、预算单位收入情况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（一）部门财务收入情况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2023年部门财务总收入1,109.50万元，其中：一般公共预算1,059.50万元，政府性基金0.00万元，国有资本经营收益0.00万元，财政专户管理资金收入0.00万元，事业收入0.00万元，事业单位经营收入0.00万元，上级补助收入50.00万元，附属单位上缴收入0.00万元，其他收入0.00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与上年对比减少418.68万元，下降27.40%，主要原因是财政资金困难，往年帽天山保护专项资金500.00万元未纳入2023年预算。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（二）财政拨款收入情况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2023年部门财政拨款收入1,059.50万元，其中：本年收入1,059.50万元，上年结转收入0.00万元。本年收入中，一般公共预算财政拨款1,059.50万元（本级财力1,059.50万元，专项收入0.00万元，执法办案补助0.00万元，收费成本补偿0.00万元，国有资源（资产）有偿使用成本补偿0.00万元），政府性基金预算财政拨款0.00万元，国有资本经营收益财政拨款0.00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与上年对比减少468.68万元，下降30.67%，主要原因是财政资金困难，往年帽天山保护专项资金500.00万元未纳入2023年预算。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四、预算单位支出情况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2023年部门预算总支出1,109.50万元。财政拨款安排支出1,059.50万元，其中：基本支出1,059.50万元，与上年对比增加31.32万元，增长3.05%，主要原因是政策性增资；项目支出0.00万元，与上年对比减少500.00万元，下降100.00%，主要原因是财政资金困难，往年帽天山保护专项资金500.00万元未纳入2023年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（一）财政拨款安排支出按功能科目分类情况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1.“2070201”行政运行338.78万元，主要用于行政机关工资发放、机构运转等支出。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2.“2070205”博物馆485.28万元，主要用于博物馆工资发放、机构运转等支出。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3.“2080501”行政单位离退休15.00万元，主要用于退休人员的改革性补贴及生活补助支出。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3.“2080505”机关事业单位基本养老保险缴费支出64.91万元，主要用于单位职工基本养老保险支出。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4.“2080506”机关事业单位职业年金缴费支出8.78万元，主要用于2023年退休职工缴纳职业年金支出。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5.“2101101”行政单位医疗22.81万元，主要用于行政机关缴纳医疗保险支出。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6.“2101102”事业单位医疗17.10万元，主要用于博物馆缴纳医疗保险支出。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6.“2101103”公务员医疗补助27.85万元，主要用于职工缴纳公务员医疗补助支出。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7.“2101199”其他行政事业单位医疗支出3.48万元，主要用于职工大病医疗补助支出。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8.“2210201”住房公积金69.90万元，主要用于职工缴纳住房公积金支出。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9.“2210203”购房补贴5.61万元，主要用于发放职工购房补贴支出。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（二）财政拨款安排支出按经济科目分类情况：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301”工资福利支出952.74万元，其中：“30101”基本工资185.74万元，“30102”津贴补贴141.78万元，“30103”奖金48.04万元，“30107”绩效工资165.77万元，“30108”机关事业单位基本养老保险缴费64.91万元，“30109”职业年金缴费8.78万元，“30110”职工基本医疗保险缴费39.91万元，“30111”公务员医疗补助缴费27.85万元，“30112”其他社会保障缴费5.18万元，“30113”住房公积金69.90万元，“30199”其他工资福利支出194.88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302”商品和服务支出91.76万元，其中：“30201”办公费7.36万元，“30205”水费0.60万元，“30206”电费4.00万元，“30211”差旅费25.42万元，“30215”会议费4.00万元，“30216”培训费6.95万元，“30217”公务接待费2.54万元，“30228”工会经费9.27万元，“30229”福利费11.58万元，“30239”其他交通费用20.04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3.“303”对个人和家庭的补助15.00万元，其中：“30302”退休费15.00万元。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五、市对下专项转移支付情况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（一）与中央配套事项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（二）按既定政策标准测算补助事项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（三）经济社会事业发展事项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六、政府采购预算情况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无政府采购预算。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七、部门“三公”经费增减变化情况及原因说明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澄江化石地世界自然遗产管理委员会2023年一般公共预算财政拨款“三公”经费预算合计2.54万元，较上年增加0.00万元，增长0.00%，具体情况如下：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（一）因公出国（境）费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澄江化石地世界自然遗产管理委员会2023年因公出国（境）费预算为0.00万元，较上年增加0.00万元，增长0.00%，共计安排因公出国（境）团组0个，因公出国（境）0人次。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与上年对比无变化。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（二）公务接待费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澄江化石地世界自然遗产管理委员会2023年公务接待费预算为2.54万元，较上年增加0.00万元，增长0.00%，国内公务接待批次为40次，共计接待300人次。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与上年对比无变化。</w:t>
      </w:r>
      <w:r>
        <w:rPr>
          <w:rFonts w:hint="eastAsia" w:ascii="宋体" w:hAnsi="宋体" w:eastAsia="宋体" w:cs="宋体"/>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（三）公务用车购置及运行维护费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澄江化石地世界自然遗产管理委员会2023年公务用车购置及运行维护费为0.00万元，较上年增加0.00万元，增长0.00%。其中：公务用车购置费0.00万元，较上年增加0.00万元，增长0.00%；公务用车运行维护费0.00万元，较上年增加0.00万元，增长0.00%。共计购置公务用车0辆，年末公务用车保有量为0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与上年对比无变化。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八、重点项目预算绩效目标情况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70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15"/>
          <w:sz w:val="32"/>
          <w:szCs w:val="32"/>
          <w:shd w:val="clear" w:fill="FFFFFF"/>
        </w:rPr>
        <w:t>2023年纳入绩效管理的项目共1个，涉及单位自有资金项目安排50.00万元，项目名称：化石地保护其他部门实拨专项经费。项目预算的绩效目标为：1.加快推进澄江化石地自然博物馆建设，按照财政部门要求积极研究推进博物馆PPP项目清理整改相关工作。2.做好澄江化石地保护工作，一是加强遗产地特别是重要剖面、地层的监管工作。做好保护区18平方公里范围内的定期巡查，杜绝盗采，认真抓好辖区的护林防火工作。二是根据博物馆安保设施建设进度情况，适时将帽天山视频监控系统纳入整个博物馆安保系统，统一管理。三是按照省级评审要求修改完善云南澄江化石地世界自然遗产、云南澄江动物群古生物国家地质公园、澄江动物化石群省级自然保护区的勘界立标报告后按程序再次报省林草局评审。四是积极配合相关科室完成帽天山保护地调整优化整合工作。3.高质量做好科普教育工作，提升化石地宣传工作。4.做好博物馆交流展览及论坛活动，提升影响力。5.大力开发化石文创产品。6.开展澄江化石地自然博物馆（云南省自然博物馆）划归省文旅厅管理后续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九、其他公开信息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（一）专业名词解释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1.经济科目：指政府支出按经济性质和具体用途所做的一种分类科目，具体设类、款两级。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2.功能科目：指政府支出按其主要职能活动所做的一种分类科目，主要反映政府活动的不同功能和政策目标，具体设类、款、项三级。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3.一般公共预算：对以税收为主体的财政收入，安排用于保障和改善民生、推动经济社会发展、维护国家安全、维持国家机构正常运转等方面的收支预算。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4.基本支出预算：是部门预算的组成部分，是单位为保障其机构正常运转、行使单位职能、完成日常工作任务而编制的年度基本支出计划，包括人员经费支出和公用经费支出两部分。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5.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6.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（二）机关运行经费安排变化情况及原因说明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澄江化石地世界自然遗产管理委员会2023年机关运行经费安排58.18万元，主要包括：办公费2.00万元、水费0.60万元、电费4.00万元、差旅费13.00万元、会议费2.00万元、培训费3.50万元、公务接待费2.54万元、工会经费4.67万元、福利费5.83万元、其他交通费20.04万元。与上年对比减少246.99万元，下降80.94%，主要原因是政府购买服务人员工资并入博物馆其他工资福利支出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（三）国有资产占有使用情况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截至2022年12月31日，澄江化石地世界自然遗产管理委员会资产总额619.64万元，其中，流动资产143.78万元，固定资产475.86万元，对外投资及有价证券0.00万元，在建工程0.00万元，无形资产0.00万元，其他资产0.00万元。与上年相比，本年资产总额减少98.16万元，其中固定资产减少125.46万元。处置房屋建筑物0.00平方米，账面原值0.00万元；处置车辆0辆，账面原值0.00万元；报废报损资产0项，账面原值0.00万元，实现资产处置收入0.00万元；资产使用收入0.00万元，其中出租资产0.00平方米，资产出租收入0.00万元。鉴于截至2022年12月31日的国有资产占有使用精准数据，需在完成2022年决算编制后才能汇总，此处公开为2022年12月资产月报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（四）政府性基金预算情况说明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无政府性基金预算。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微软雅黑" w:hAnsi="微软雅黑" w:eastAsia="微软雅黑" w:cs="微软雅黑"/>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（五）国有资本经营预算情况说明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无国有资本经营预算。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textAlignment w:val="auto"/>
      </w:pPr>
      <w:r>
        <w:rPr>
          <w:rStyle w:val="7"/>
          <w:rFonts w:hint="default" w:ascii="Arial" w:hAnsi="Arial" w:eastAsia="微软雅黑" w:cs="Arial"/>
          <w:i w:val="0"/>
          <w:caps w:val="0"/>
          <w:color w:val="000000"/>
          <w:spacing w:val="0"/>
          <w:sz w:val="36"/>
          <w:szCs w:val="36"/>
          <w:shd w:val="clear" w:fill="FFFFFF"/>
        </w:rPr>
        <w:t>监督索引号53042200635800111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35FA4"/>
    <w:rsid w:val="082B05D4"/>
    <w:rsid w:val="267720AD"/>
    <w:rsid w:val="34CB1AF9"/>
    <w:rsid w:val="6743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2023-10-26T07:21:00Z</dcterms:created>
  <dc:creator>Dell</dc:creator>
  <cp:lastModifiedBy>Dell</cp:lastModifiedBy>
  <dcterms:modified xsi:type="dcterms:W3CDTF">2023-10-26T08:08:43Z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