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36"/>
          <w:szCs w:val="36"/>
        </w:rPr>
      </w:pPr>
      <w:r>
        <w:rPr>
          <w:rFonts w:ascii="Arial" w:hAnsi="Arial" w:eastAsia="微软雅黑" w:cs="Arial"/>
          <w:b/>
          <w:i w:val="0"/>
          <w:caps w:val="0"/>
          <w:color w:val="000000"/>
          <w:spacing w:val="0"/>
          <w:sz w:val="36"/>
          <w:szCs w:val="36"/>
        </w:rPr>
        <w:t>监督索引号53042200620300301000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微软雅黑" w:hAnsi="微软雅黑" w:eastAsia="微软雅黑" w:cs="微软雅黑"/>
          <w:i w:val="0"/>
          <w:caps w:val="0"/>
          <w:color w:val="000000"/>
          <w:spacing w:val="0"/>
          <w:sz w:val="18"/>
          <w:szCs w:val="18"/>
        </w:rPr>
      </w:pPr>
      <w:r>
        <w:rPr>
          <w:rFonts w:ascii="方正小标宋_GBK" w:hAnsi="方正小标宋_GBK" w:eastAsia="方正小标宋_GBK" w:cs="方正小标宋_GBK"/>
          <w:i w:val="0"/>
          <w:caps w:val="0"/>
          <w:color w:val="000000"/>
          <w:spacing w:val="0"/>
          <w:sz w:val="44"/>
          <w:szCs w:val="44"/>
        </w:rPr>
        <w:t>澄江市老年大学2022年度部门决算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880"/>
        <w:jc w:val="both"/>
        <w:rPr>
          <w:rFonts w:hint="eastAsia" w:ascii="微软雅黑" w:hAnsi="微软雅黑" w:eastAsia="微软雅黑" w:cs="微软雅黑"/>
          <w:i w:val="0"/>
          <w:caps w:val="0"/>
          <w:color w:val="000000"/>
          <w:spacing w:val="0"/>
          <w:sz w:val="18"/>
          <w:szCs w:val="18"/>
        </w:rPr>
      </w:pPr>
      <w:r>
        <w:rPr>
          <w:rFonts w:hint="eastAsia" w:ascii="方正小标宋_GBK" w:hAnsi="方正小标宋_GBK" w:eastAsia="方正小标宋_GBK" w:cs="方正小标宋_GBK"/>
          <w:i w:val="0"/>
          <w:caps w:val="0"/>
          <w:color w:val="000000"/>
          <w:spacing w:val="0"/>
          <w:sz w:val="44"/>
          <w:szCs w:val="4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方正小标宋_GBK" w:hAnsi="方正小标宋_GBK" w:eastAsia="方正小标宋_GBK" w:cs="方正小标宋_GBK"/>
          <w:i w:val="0"/>
          <w:caps w:val="0"/>
          <w:color w:val="000000"/>
          <w:spacing w:val="0"/>
          <w:sz w:val="44"/>
          <w:szCs w:val="44"/>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ascii="黑体" w:hAnsi="宋体" w:eastAsia="黑体" w:cs="黑体"/>
          <w:i w:val="0"/>
          <w:caps w:val="0"/>
          <w:color w:val="000000"/>
          <w:spacing w:val="0"/>
          <w:sz w:val="32"/>
          <w:szCs w:val="32"/>
        </w:rPr>
        <w:t>第一部分</w:t>
      </w:r>
      <w:r>
        <w:rPr>
          <w:rFonts w:hint="eastAsia" w:ascii="黑体" w:hAnsi="宋体" w:eastAsia="黑体" w:cs="黑体"/>
          <w:i w:val="0"/>
          <w:caps w:val="0"/>
          <w:color w:val="000000"/>
          <w:spacing w:val="0"/>
          <w:sz w:val="32"/>
          <w:szCs w:val="32"/>
        </w:rPr>
        <w:t> </w:t>
      </w:r>
      <w:r>
        <w:rPr>
          <w:rFonts w:ascii="Calibri" w:hAnsi="Calibri" w:eastAsia="微软雅黑" w:cs="Calibri"/>
          <w:i w:val="0"/>
          <w:caps w:val="0"/>
          <w:color w:val="000000"/>
          <w:spacing w:val="0"/>
          <w:sz w:val="32"/>
          <w:szCs w:val="32"/>
        </w:rPr>
        <w:t> </w:t>
      </w:r>
      <w:r>
        <w:rPr>
          <w:rFonts w:hint="eastAsia" w:ascii="黑体" w:hAnsi="宋体" w:eastAsia="黑体" w:cs="黑体"/>
          <w:i w:val="0"/>
          <w:caps w:val="0"/>
          <w:color w:val="000000"/>
          <w:spacing w:val="0"/>
          <w:sz w:val="32"/>
          <w:szCs w:val="32"/>
        </w:rPr>
        <w:t>澄江市老年大学概况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ascii="仿宋" w:hAnsi="仿宋" w:eastAsia="仿宋" w:cs="仿宋"/>
          <w:i w:val="0"/>
          <w:caps w:val="0"/>
          <w:color w:val="000000"/>
          <w:spacing w:val="0"/>
          <w:sz w:val="32"/>
          <w:szCs w:val="32"/>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第二部分 </w:t>
      </w:r>
      <w:r>
        <w:rPr>
          <w:rFonts w:hint="default" w:ascii="Calibri" w:hAnsi="Calibri" w:eastAsia="微软雅黑" w:cs="Calibri"/>
          <w:i w:val="0"/>
          <w:caps w:val="0"/>
          <w:color w:val="000000"/>
          <w:spacing w:val="0"/>
          <w:sz w:val="32"/>
          <w:szCs w:val="32"/>
        </w:rPr>
        <w:t> </w:t>
      </w:r>
      <w:r>
        <w:rPr>
          <w:rFonts w:hint="eastAsia" w:ascii="黑体" w:hAnsi="宋体" w:eastAsia="黑体" w:cs="黑体"/>
          <w:i w:val="0"/>
          <w:caps w:val="0"/>
          <w:color w:val="000000"/>
          <w:spacing w:val="0"/>
          <w:sz w:val="32"/>
          <w:szCs w:val="32"/>
        </w:rPr>
        <w:t>2022年度部门决算表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一、收入支出决算表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四、财政拨款收入支出决算表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五、一般公共预算财政拨款收入支出决算表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七、一般公共预算财政拨款项目支出决算表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九、国有资本经营预算财政拨款收入支出决算表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十、“三公”经费、行政参公单位机关运行经费情况表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第三部分 </w:t>
      </w:r>
      <w:r>
        <w:rPr>
          <w:rFonts w:hint="default" w:ascii="Calibri" w:hAnsi="Calibri" w:eastAsia="微软雅黑" w:cs="Calibri"/>
          <w:i w:val="0"/>
          <w:caps w:val="0"/>
          <w:color w:val="000000"/>
          <w:spacing w:val="0"/>
          <w:sz w:val="32"/>
          <w:szCs w:val="32"/>
        </w:rPr>
        <w:t> </w:t>
      </w:r>
      <w:r>
        <w:rPr>
          <w:rFonts w:hint="eastAsia" w:ascii="黑体" w:hAnsi="宋体" w:eastAsia="黑体" w:cs="黑体"/>
          <w:i w:val="0"/>
          <w:caps w:val="0"/>
          <w:color w:val="000000"/>
          <w:spacing w:val="0"/>
          <w:sz w:val="32"/>
          <w:szCs w:val="32"/>
        </w:rPr>
        <w:t>2022年度部门决算情况说明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四、财政拨款“三公”经费支出决算情况说明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第四部分 </w:t>
      </w:r>
      <w:r>
        <w:rPr>
          <w:rFonts w:hint="default" w:ascii="Calibri" w:hAnsi="Calibri" w:eastAsia="微软雅黑" w:cs="Calibri"/>
          <w:i w:val="0"/>
          <w:caps w:val="0"/>
          <w:color w:val="000000"/>
          <w:spacing w:val="0"/>
          <w:sz w:val="32"/>
          <w:szCs w:val="32"/>
        </w:rPr>
        <w:t> </w:t>
      </w:r>
      <w:r>
        <w:rPr>
          <w:rFonts w:hint="eastAsia" w:ascii="黑体" w:hAnsi="宋体" w:eastAsia="黑体" w:cs="黑体"/>
          <w:i w:val="0"/>
          <w:caps w:val="0"/>
          <w:color w:val="000000"/>
          <w:spacing w:val="0"/>
          <w:sz w:val="32"/>
          <w:szCs w:val="32"/>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（一）部门整体支出绩效自评情况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（二）部门整体支出绩效自评表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（三）项目支出绩效自评表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第五部分 </w:t>
      </w:r>
      <w:r>
        <w:rPr>
          <w:rFonts w:hint="default" w:ascii="Calibri" w:hAnsi="Calibri" w:eastAsia="微软雅黑" w:cs="Calibri"/>
          <w:i w:val="0"/>
          <w:caps w:val="0"/>
          <w:color w:val="000000"/>
          <w:spacing w:val="0"/>
          <w:sz w:val="32"/>
          <w:szCs w:val="32"/>
        </w:rPr>
        <w:t> </w:t>
      </w:r>
      <w:r>
        <w:rPr>
          <w:rFonts w:hint="eastAsia" w:ascii="黑体" w:hAnsi="宋体" w:eastAsia="黑体" w:cs="黑体"/>
          <w:i w:val="0"/>
          <w:caps w:val="0"/>
          <w:color w:val="000000"/>
          <w:spacing w:val="0"/>
          <w:sz w:val="32"/>
          <w:szCs w:val="32"/>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微软雅黑" w:hAnsi="微软雅黑" w:eastAsia="微软雅黑" w:cs="微软雅黑"/>
          <w:i w:val="0"/>
          <w:caps w:val="0"/>
          <w:color w:val="000000"/>
          <w:spacing w:val="0"/>
          <w:sz w:val="18"/>
          <w:szCs w:val="18"/>
        </w:rPr>
      </w:pPr>
      <w:r>
        <w:rPr>
          <w:rFonts w:hint="default" w:ascii="Times New Roman" w:hAnsi="Times New Roman" w:eastAsia="微软雅黑" w:cs="Times New Roman"/>
          <w:i w:val="0"/>
          <w:caps w:val="0"/>
          <w:color w:val="000000"/>
          <w:spacing w:val="0"/>
          <w:sz w:val="30"/>
          <w:szCs w:val="3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方正小标宋_GBK" w:hAnsi="方正小标宋_GBK" w:eastAsia="方正小标宋_GBK" w:cs="方正小标宋_GBK"/>
          <w:i w:val="0"/>
          <w:caps w:val="0"/>
          <w:color w:val="000000"/>
          <w:spacing w:val="0"/>
          <w:sz w:val="36"/>
          <w:szCs w:val="36"/>
        </w:rPr>
        <w:t>第一部分  澄江市老年大学概况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ascii="楷体" w:hAnsi="楷体" w:eastAsia="楷体" w:cs="楷体"/>
          <w:i w:val="0"/>
          <w:caps w:val="0"/>
          <w:color w:val="000000"/>
          <w:spacing w:val="0"/>
          <w:sz w:val="32"/>
          <w:szCs w:val="32"/>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贯彻落实中央、省、市关于离退休干部和老年教育工作的方针政策；负责组织开展全市离退休老同志和和有学习意愿的老年人的教育教学；负责组织开展离退休干部形势报告会和专题讲座；负责离退休干部党员教育培训和党支部书记培训工作；积极引导离退休干部发挥作用，为全市经济社会发展建言献策；负责老年大学教学设施的建设、管理和维护，改善老年大学的办学条件；完成中共澄江市委组织部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楷体" w:hAnsi="楷体" w:eastAsia="楷体" w:cs="楷体"/>
          <w:i w:val="0"/>
          <w:caps w:val="0"/>
          <w:color w:val="000000"/>
          <w:spacing w:val="0"/>
          <w:sz w:val="32"/>
          <w:szCs w:val="32"/>
        </w:rPr>
        <w:t>（二）2022年度重点工作任务概述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1.以巩固示范校创建成果和创建省市文明单位为抓手，规范化建设常态化，疫情防控有序、有效。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（1）修缮教学设施。2022年修缮教学舞台后墙地板50平方米，水槽补漏20米；新教学楼楼顶防渗处理25平方米。学校校容、校貌良好，环境雅致整洁。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2）多措并举,探索应用老年人喜闻乐见的线上线下相结合、防控疫情常态化的老年人教学方式。学校始终坚持以教学为中心不动摇，把办学宗旨作为老年教育的核心理念，一切工作的出发点和最终目标。学校的花灯、摄影、书画、体育舞蹈专业，历久弥新，为稳定老年人情绪，坚定防控疫情必胜信念发挥了不可替代的特殊作用。体育舞蹈班骨干带动凤麓街道四个社区开展气功锻炼，成为学校的品牌特色专业。民族舞蹈班，旨在挖掘、传承、演练本土彝族、苗族舞蹈，既满足了老年人求知、求乐、增长才艺，进行文艺娱乐、健身的愿望，也为传承民族文化做出了力所能及的贡献。今年，共播出35多场次，涵盖思想道德教育、科学技术、军事装备、人文历史、医疗保健、食物营养、文化娱乐等方面。今年，按照县委组织部要求，我校应用老年远程教育设施，播放《习近平在庆祝中国共产党成立100年讲话实况》《大决战》《邓小平》《云南党史》等影片15场次，观看党员学员达600多人次。组织“微党课”4场次。我校教学模式，特别是对老年人的思想道德教育方式又有新探索、新手段，开展 “疫情防控知识”讲座演练1期。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3.以创建省市级文明单位为管理抓手，系列活动异彩纷呈，再夺玉溪市文明单位桂冠。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学校始终把创建文明单位、巩固省级示范校成果为第一工作目标，优化第一课堂，丰富第二课堂，拓展第三课堂，探索第四课堂（游学）。按照云南省文明委《云南省文明单位创建管理工作办法》，对照文明单位指标体系，积极开展各种创建活动。组织庆祝中国共产党成立100周年文艺演出；讴歌中国共产党的英明领导、展示社会主义社会幸福生活，或宣传“创建全国文明城市、卫生城市”、“抗击新冠疫情”、“生态文明建设”展现师生精神风貌。组织对组织系统7名在党50年的离退休老党员，颁发荣誉证书、荣誉勋章，营造为党积极工作光荣，彰显一辈子跟党走的老党员形象；组织“党史知识抢答竞赛”，80多名师生参与抢答。“学党史，悟初心，做实事，献余热”捷报频传。摄影班组织学员到抚仙湖北岸人工湿地、时光栈道采风，组织“喜迎二十大，奋进新时代”专题摄影作品展2期。展出作品120余幅。书画班组织学员创作反映奋斗征程、家乡巨变、幸福生活作品90余幅，并在老干部活动中心展出。红山茶、凤凰艺术团舞蹈深入龙街、凤麓镇巡回演出文艺节目，宣传“创建全国文明城市”、“抗击新冠疫情”、“生态文明建设”体现社会的关爱。所有艺术类专业教学班都响应县委宣传部号召，按照学校安排，发挥自身特长优势，深入农村、社区开展送戏下乡活动，2022年9月各班开展的慰问、演出活动就达50次。上述活动，既让老年学员发挥了自己的余热，履行了学校的社会责任，扩大了老年大学的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学校今年组织发行“庆祝中国共产党成立100周年红色专刊”1期，刊发“党员风采”4篇、“建党百年征文”10篇、“澄江党史”2篇、“校园内外”13篇、诗歌12、书法27副、绘画16幅、摄影作品45幅，系列活动简讯30多篇。丰富了校园文化，还激发了全体学员的“颂党恩、听党话、跟党走”热情，增强了学校的凝聚力，深受学员喜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4.坚决打好“新冠肺炎”疫情防控阻击战。根据市疫情防控指挥部的指示，做好消杀药品、器材、设施的准备，防控疫情知识、法律的普及宣传，防控疫情方案、制度的落实，打好疫情防控阻击战。按照疫情防控要求，我校今年共卖消毒药剂120瓶，其中84消毒液20瓶、消毒片100瓶；卫生香5盒，免洗抑菌洗手液20瓶。1-10月卫生间共消毒600余次、点卫生香100余次，公共区域和教室消毒500余次，卫生间基本每天都要消毒3次，公共区域和教室基本每天都要消毒2次。学校动员、鼓励掌握智能手机技术的年轻教师进行视频教学；组织临时党支部书记群、班长群、教师群利用“微信”，开展“网课”130场次，及时发布省市科学声音，传播防疫知识，不信谣、不传谣，组织老年党员进入中组部、省委老干局“微信公众号”进行阅读、点赞一万多次。对疏导稳定老年人群体情绪发挥了不可替代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5.组织“银发志愿服务队”，积极开展创建全国文明城市志愿服务活动。组织志愿者培训三次，300人。组织街头文明宣传、劝导5场次，发放传单2000份；组织文艺宣传三场次，受众10000多人；组织反映“创建文明城市”主题书画展一次，展出书画作品80多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楷体" w:hAnsi="楷体" w:eastAsia="楷体" w:cs="楷体"/>
          <w:i w:val="0"/>
          <w:caps w:val="0"/>
          <w:color w:val="000000"/>
          <w:spacing w:val="0"/>
          <w:sz w:val="32"/>
          <w:szCs w:val="32"/>
        </w:rPr>
        <w:t>（一）机构设置情况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我部门共设置0个内设机构（我部门由于规模小、人数少，故未设立内设机构）。所属单位0个。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楷体" w:hAnsi="楷体" w:eastAsia="楷体" w:cs="楷体"/>
          <w:i w:val="0"/>
          <w:caps w:val="0"/>
          <w:color w:val="000000"/>
          <w:spacing w:val="0"/>
          <w:sz w:val="32"/>
          <w:szCs w:val="32"/>
        </w:rPr>
        <w:t>（二）决算单位构成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纳入澄江市老年大学2022年度部门决算编报的单位共1个。其中：行政单位0个，参照公务员法管理的事业单位1个，其他事业单位0个。分别是：澄江市老年大学。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楷体" w:hAnsi="楷体" w:eastAsia="楷体" w:cs="楷体"/>
          <w:i w:val="0"/>
          <w:caps w:val="0"/>
          <w:color w:val="000000"/>
          <w:spacing w:val="0"/>
          <w:sz w:val="32"/>
          <w:szCs w:val="32"/>
        </w:rPr>
        <w:t>（三）部门人员和车辆的编制及实有情况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澄江市老年大学2022年末实有人员编制2人。其中：行政编制0人（含行政工勤编制0人），事业编制2人（含参公管理事业编制2人）；在职在编实有行政人员0人（含行政工勤人员0人），事业人员2人（含参公管理事业人员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尚未移交养老保险基金发放养老金的离退休人员共计0人（离休0人，退休0人）；由养老保险基金发放养老金的离退休人员0人（离休0人，退休0人）。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实有车辆编制0辆，在编实有车辆0辆。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微软雅黑" w:hAnsi="微软雅黑" w:eastAsia="微软雅黑" w:cs="微软雅黑"/>
          <w:i w:val="0"/>
          <w:caps w:val="0"/>
          <w:color w:val="000000"/>
          <w:spacing w:val="0"/>
          <w:sz w:val="18"/>
          <w:szCs w:val="18"/>
        </w:rPr>
      </w:pPr>
      <w:r>
        <w:rPr>
          <w:rFonts w:ascii="方正黑体" w:hAnsi="方正黑体" w:eastAsia="方正黑体" w:cs="方正黑体"/>
          <w:i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方正小标宋_GBK" w:hAnsi="方正小标宋_GBK" w:eastAsia="方正小标宋_GBK" w:cs="方正小标宋_GBK"/>
          <w:i w:val="0"/>
          <w:caps w:val="0"/>
          <w:color w:val="000000"/>
          <w:spacing w:val="0"/>
          <w:sz w:val="36"/>
          <w:szCs w:val="36"/>
        </w:rPr>
        <w:t>第二部分  2022年度部门决算表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澄江市老年大学2022年没有政府性基金预算财政拨款收入，也没有使用政府性基金预算财政拨款安排的支出，《政府性基金预算财政拨款收入支出决算表》为空表。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澄江市老年大学2022年没有国有资本经营预算财政拨款收入，也没有使用国有资本经营预算财政拨款安排的支出，《国有资本经营预算财政拨款收入支出决算表》为空表。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both"/>
        <w:rPr>
          <w:rFonts w:hint="eastAsia" w:ascii="微软雅黑" w:hAnsi="微软雅黑" w:eastAsia="微软雅黑" w:cs="微软雅黑"/>
          <w:i w:val="0"/>
          <w:caps w:val="0"/>
          <w:color w:val="000000"/>
          <w:spacing w:val="0"/>
          <w:sz w:val="18"/>
          <w:szCs w:val="18"/>
        </w:rPr>
      </w:pPr>
      <w:r>
        <w:rPr>
          <w:rFonts w:hint="default" w:ascii="Calibri" w:hAnsi="Calibri" w:eastAsia="微软雅黑" w:cs="Calibri"/>
          <w:i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微软雅黑" w:hAnsi="微软雅黑" w:eastAsia="微软雅黑" w:cs="微软雅黑"/>
          <w:i w:val="0"/>
          <w:caps w:val="0"/>
          <w:color w:val="000000"/>
          <w:spacing w:val="0"/>
          <w:sz w:val="18"/>
          <w:szCs w:val="18"/>
        </w:rPr>
      </w:pPr>
      <w:r>
        <w:rPr>
          <w:rFonts w:hint="eastAsia" w:ascii="方正小标宋_GBK" w:hAnsi="方正小标宋_GBK" w:eastAsia="方正小标宋_GBK" w:cs="方正小标宋_GBK"/>
          <w:i w:val="0"/>
          <w:caps w:val="0"/>
          <w:color w:val="000000"/>
          <w:spacing w:val="0"/>
          <w:sz w:val="36"/>
          <w:szCs w:val="36"/>
        </w:rPr>
        <w:t>第三部分  2022年度部门决算情况说明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澄江市老年大学2022年度收入合计826,104.12元。其中：财政拨款收入826,104.12元，占总收入的100.00%；上级补助收入0.00元，占总收入的0.00%；事业收入0.00元（含教育收费0.00元），占总收入的0.00%；经营收入0.00元，占总收入的0.00%；附属单位缴款收入0.00元，占总收入的0.00%；其他收入0.00元，占总收入的0.00%。与上年相比，收入合计增加325,813.12元，增长65.12%。其中：财政拨款收入增加325,813.12元，增长65.12%；上级补助收入增加0.00元，增长0.00%；事业收入增加0.00元，增长0.00%；经营收入增加0.00元，增长0.00%；附属单位上缴收入增加0.00元，增长0.00%；其他收入增加0.00元，增长0.00%。主要原因是增加疫情防控、创文等宣传项目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澄江市老年大学2022年度支出合计826,104.12元。其中：基本支出488,819.68元，占总支出的59.17%；项目支出337,284.44元，占总支出的40.83%；上缴上级支出0.00元，占总支出的0.00％；经营支出0.00元，占总支出的0.00％；对附属单位补助支出0.00元，占总支出的0.00％。与上年相比，支出合计增加325,813.12元，增长65.12%。其中：基本支出减少8,018.32元，下降1.61%；项目支出增加333,831.44元，增长9,667.87%；上缴上级支出增加0.00元，增长0.00%；经营支出增加0.00元，增长0.00%；对附属单位补助支出增加0.00元，增长0.00%。主要原因是增加疫情防控、创文等宣传项目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楷体" w:hAnsi="楷体" w:eastAsia="楷体" w:cs="楷体"/>
          <w:i w:val="0"/>
          <w:caps w:val="0"/>
          <w:color w:val="000000"/>
          <w:spacing w:val="0"/>
          <w:sz w:val="32"/>
          <w:szCs w:val="32"/>
        </w:rPr>
        <w:t>（一）基本支出情况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2022年度用于保障澄江市老年大学机关、下属事业单位等机构正常运转的日常支出488,819.68元。其中：基本工资、津贴补贴等人员经费支出398,185.58元，占基本支出的81.46％；办公费、印刷费、水电费、办公设备购置等公用经费90,634.10元，占基本支出的18.54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楷体" w:hAnsi="楷体" w:eastAsia="楷体" w:cs="楷体"/>
          <w:i w:val="0"/>
          <w:caps w:val="0"/>
          <w:color w:val="000000"/>
          <w:spacing w:val="0"/>
          <w:sz w:val="32"/>
          <w:szCs w:val="32"/>
        </w:rPr>
        <w:t>（二）项目支出情况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2022年度用于保障澄江市老年大学机构、下属事业单位等机构为完成特定的行政工作任务或事业发展目标，用于专项业务工作的经费支出337,284.44元。其中：基本建设类项目支出0.00元。具体项目开支及开展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离退休人员管理机构支出337,284.44元，主要用于离退休人员管理机构教师工资13,664.00元、创卫及疫情防控宣传活动经费205,620.44元。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楷体" w:hAnsi="楷体" w:eastAsia="楷体" w:cs="楷体"/>
          <w:i w:val="0"/>
          <w:caps w:val="0"/>
          <w:color w:val="000000"/>
          <w:spacing w:val="0"/>
          <w:sz w:val="32"/>
          <w:szCs w:val="32"/>
        </w:rPr>
        <w:t>（一）一般公共预算财政拨款支出决算总体情况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澄江市老年大学2022年度一般公共预算财政拨款支出826,104.12元，占本年支出合计的100.00%。与上年相比增加325,813.12元，增长65.12%，主要原因分析增加疫情防控、创文等宣传项目经费。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楷体" w:hAnsi="楷体" w:eastAsia="楷体" w:cs="楷体"/>
          <w:i w:val="0"/>
          <w:caps w:val="0"/>
          <w:color w:val="000000"/>
          <w:spacing w:val="0"/>
          <w:sz w:val="32"/>
          <w:szCs w:val="32"/>
        </w:rPr>
        <w:t>（二）一般公共预算财政拨款支出决算具体情况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1.一般公共服务（类）支出20,642.00元，占一般公共预算财政拨款总支出的2.50%。主要用于其他一般公共服务支出20,642.00元。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2.外交（类）支出0.00元，占一般公共预算财政拨款总支出的0.00%。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3.国防（类）支出0.00元，占一般公共预算财政拨款总支出的0.00%。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4.公共安全（类）支出0.00元，占一般公共预算财政拨款总支出的0.00%。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5.教育（类）支出0.00元，占一般公共预算财政拨款总支出的0.00%。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6.科学技术（类）支出0.00元，占一般公共预算财政拨款总支出的0.00%。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7.文化旅游体育与传媒（类）支出0.00元，占一般公共预算财政拨款总支出的0.00%。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8.社会保障和就业（类）支出373,217.24元，占一般公共预算财政拨款总支出的45.18%。主要用于离退休人员管理机构运行人员基本支出和公用支出337,284.44元、机关事业单位基本养老保险缴费支出35,932.80元。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9.卫生健康（类）支出395,224.88元，占一般公共预算财政拨款总支出的47.84%。主要用于行政单位医疗18,314.91元、公务员医疗补助10,652.40元、老龄卫生健康事务366,257.57元。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10.节能环保（类）支出0.00元，占一般公共预算财政拨款总支出的0.00%。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11.城乡社区（类）支出0.00元，占一般公共预算财政拨款总支出的0.00%。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12.农林水（类）支出0.00元，占一般公共预算财政拨款总支出的0.00%。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13.交通运输（类）支出0.00元，占一般公共预算财政拨款总支出的0.00%。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14.资源勘探工业信息等（类）支出类0.00元，占一般公共预算财政拨款总支出的0.00%。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15.商业服务业等（类）支出0.00元，占一般公共预算财政拨款总支出的0.00%。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16.金融（类）支出0.00元，占一般公共预算财政拨款总支出的0.00%。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17.援助其他地区（类）支出0.00元，占一般公共预算财政拨款总支出的0.00%。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18.自然资源海洋气象等（类）支出0.00元，占一般公共预算财政拨款总支出的0.00%。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19.住房保障（类）支出37,020.00元，占一般公共预算财政拨款总支出的4.48%。主要用于住房公积金37,020.00元。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20.粮油物资储备（类）支出0.00元，占一般公共预算财政拨款总支出的0.00%。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21.国有资本经营预算（类）支出0.00元，占一般公共预算财政拨款总支出的0.00%。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22.灾害防治及应急管理（类）支出0.00元，占一般公共预算财政拨款总支出的0.00%。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23.其他（类）支出0.00元，占一般公共预算财政拨款总支出的0.00%。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24.债务还本（类）支出0.00元，占一般公共预算财政拨款总支出的0.00%。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25.债务付息（类）支出0.00元，占一般公共预算财政拨款总支出的0.00%。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26.抗疫特别国债安排（类）支出0.00元，占一般公共预算财政拨款总支出的0.00%。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四、财政拨款“三公</w:t>
      </w:r>
      <w:r>
        <w:rPr>
          <w:rFonts w:hint="eastAsia" w:ascii="宋体" w:hAnsi="宋体" w:eastAsia="宋体" w:cs="宋体"/>
          <w:i w:val="0"/>
          <w:caps w:val="0"/>
          <w:color w:val="000000"/>
          <w:spacing w:val="0"/>
          <w:sz w:val="32"/>
          <w:szCs w:val="32"/>
        </w:rPr>
        <w:t>”</w:t>
      </w:r>
      <w:r>
        <w:rPr>
          <w:rFonts w:hint="eastAsia" w:ascii="黑体" w:hAnsi="宋体" w:eastAsia="黑体" w:cs="黑体"/>
          <w:i w:val="0"/>
          <w:caps w:val="0"/>
          <w:color w:val="000000"/>
          <w:spacing w:val="0"/>
          <w:sz w:val="32"/>
          <w:szCs w:val="32"/>
        </w:rPr>
        <w:t>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2022年度财政拨款“三公”经费支出决算中，财政拨款“三公”经费支出年初预算为0.00元，支出决算为0.00元，完成年初预算的0.00%。其中：因公出国（境）费支出决算0.00元，占总支出决算的0.00%；公务用车购置费支出决算0.00元，占总支出决算的0.00%；公务用车运行维护费支出决算0.00元，占总支出决算的0.00%；公务接待费支出决算0.00元，占总支出决算的0.00%，具体是国内接待费支出决算0.00元（其中：外事接待费支出决算0.00元），国（境）外接待费支出决算0.00元。明细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楷体" w:hAnsi="楷体" w:eastAsia="楷体" w:cs="楷体"/>
          <w:i w:val="0"/>
          <w:caps w:val="0"/>
          <w:color w:val="000000"/>
          <w:spacing w:val="0"/>
          <w:sz w:val="32"/>
          <w:szCs w:val="32"/>
        </w:rPr>
        <w:t>(一)一般公共预算财政拨款“三公”经费支出决算总体情况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澄江市老年大学2022年度一般公共预算财政拨款“三公”经费支出年初预算为0.00元，支出决算为0.00元，完成年初预算的0.00%。其中：因公出国（境）费支出决算为0.00元，完成年初预算的0.00%；公务用车购置费支出决算为0.00元，完成年初预算的0.00%；公务用车运行维护费支出决算为0.00元，完成年初预算的0.00%；公务接待费支出决算为0.00元，完成年初预算的0.00%。2022年度，我单位一般公共预算财政拨款“三公”经费年初预算数和支出决算数均为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2022年度一般公共预算财政拨款“三公”经费支出决算数比上年增加0.00元，增长0.00%。其中：因公出国（境）费支出决算增加0.00元，增长0.00%；公务用车购置费支出决算增加0.00元，增长0.00%；公务用车运行维护费支出决算增加0.00元，增长0.00%；公务接待费支出决算增加0.00元，增长0.00%。2022年度，一般公共预算财政拨款“三公”经费支出决算与上年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楷体" w:hAnsi="楷体" w:eastAsia="楷体" w:cs="楷体"/>
          <w:i w:val="0"/>
          <w:caps w:val="0"/>
          <w:color w:val="000000"/>
          <w:spacing w:val="0"/>
          <w:sz w:val="32"/>
          <w:szCs w:val="32"/>
        </w:rPr>
        <w:t>(二)一般公共预算财政拨款“三公”经费支出实物量的具体情况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1.安排因公出国（境）团组0个，累计0人次。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2.购置车辆0辆。开支一般公共预算财政拨款的公务用车保有量为0辆。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3.安排国内公务接待0批次（其中：外事接待0批次），接待人次0人（其中：外事接待人次0人）。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rPr>
          <w:rFonts w:hint="eastAsia" w:ascii="微软雅黑" w:hAnsi="微软雅黑" w:eastAsia="微软雅黑" w:cs="微软雅黑"/>
          <w:i w:val="0"/>
          <w:caps w:val="0"/>
          <w:color w:val="000000"/>
          <w:spacing w:val="0"/>
          <w:sz w:val="30"/>
          <w:szCs w:val="30"/>
        </w:rPr>
      </w:pPr>
      <w:r>
        <w:rPr>
          <w:rFonts w:ascii="方正仿宋_GB2312" w:hAnsi="方正仿宋_GB2312" w:eastAsia="方正仿宋_GB2312" w:cs="方正仿宋_GB2312"/>
          <w:i w:val="0"/>
          <w:caps w:val="0"/>
          <w:color w:val="000000"/>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720"/>
        <w:jc w:val="both"/>
        <w:rPr>
          <w:rFonts w:hint="eastAsia" w:ascii="微软雅黑" w:hAnsi="微软雅黑" w:eastAsia="微软雅黑" w:cs="微软雅黑"/>
          <w:i w:val="0"/>
          <w:caps w:val="0"/>
          <w:color w:val="000000"/>
          <w:spacing w:val="0"/>
          <w:sz w:val="18"/>
          <w:szCs w:val="18"/>
        </w:rPr>
      </w:pPr>
      <w:r>
        <w:rPr>
          <w:rFonts w:hint="eastAsia" w:ascii="方正小标宋_GBK" w:hAnsi="方正小标宋_GBK" w:eastAsia="方正小标宋_GBK" w:cs="方正小标宋_GBK"/>
          <w:i w:val="0"/>
          <w:caps w:val="0"/>
          <w:color w:val="000000"/>
          <w:spacing w:val="0"/>
          <w:sz w:val="36"/>
          <w:szCs w:val="36"/>
        </w:rPr>
        <w:t>第四部分  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澄江市老年大学2022年机关运行经费支出90,634.10元，增加7,098.34元，增长8.50%,主要原因是增加疫情防控、创文等宣传项目经费。部门机关运行经费主要用于办公费5,546.38元、差旅费6,537.00元、劳务费58,800.00元、工会经费4,350.72元、其他交通费15,400.00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截至2022年12月31日，澄江市老年大学资产总额121,776.20元，其中，流动资产13,025.02元，固定资产108,751.18元，对外投资及有价证券0.00元，在建工程0.00元，无形资产0.00元，其他资产0.00元（具体内容详见附表）。与上年相比，本年资产总额增加23,217.61元，其中固定资产增加19,932.05元。处置房屋建筑物0.00平方米，账面原值0.00元；处置车辆0辆，账面原值0.00元；报废报损资产0项，账面原值0.00元，实现资产处置收入0.00元；出租房屋0.00平方米，账面原值0.00元，实现资产使用收入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（国有资产占有使用情况表详见附表）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2022年度，部门政府采购支出总额0.00元，其中：政府采购货物支出0.00元；政府采购工程支出0.00元；政府采购服务支出0.00元。授予中小企业合同金额0.00元，占政府采购支出总额的0.00%。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部门绩效自评情况详见附表。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00"/>
        <w:rPr>
          <w:rFonts w:hint="eastAsia" w:ascii="微软雅黑" w:hAnsi="微软雅黑" w:eastAsia="微软雅黑" w:cs="微软雅黑"/>
          <w:i w:val="0"/>
          <w:caps w:val="0"/>
          <w:color w:val="000000"/>
          <w:spacing w:val="0"/>
          <w:sz w:val="18"/>
          <w:szCs w:val="18"/>
        </w:rPr>
      </w:pPr>
      <w:r>
        <w:rPr>
          <w:rFonts w:ascii="方正仿宋" w:hAnsi="方正仿宋" w:eastAsia="方正仿宋" w:cs="方正仿宋"/>
          <w:i w:val="0"/>
          <w:caps w:val="0"/>
          <w:color w:val="000000"/>
          <w:spacing w:val="0"/>
          <w:sz w:val="30"/>
          <w:szCs w:val="30"/>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sz w:val="32"/>
          <w:szCs w:val="32"/>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（二）机关运行经费指行政单位和参照公务员法管理的事业单位使用财政拨款安排的基本支出中的公用经费支出。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 w:hAnsi="仿宋" w:eastAsia="仿宋" w:cs="仿宋"/>
          <w:i w:val="0"/>
          <w:caps w:val="0"/>
          <w:color w:val="000000"/>
          <w:spacing w:val="0"/>
          <w:sz w:val="32"/>
          <w:szCs w:val="32"/>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微软雅黑" w:hAnsi="微软雅黑" w:eastAsia="微软雅黑" w:cs="微软雅黑"/>
          <w:i w:val="0"/>
          <w:caps w:val="0"/>
          <w:color w:val="000000"/>
          <w:spacing w:val="0"/>
          <w:sz w:val="18"/>
          <w:szCs w:val="18"/>
        </w:rPr>
      </w:pPr>
      <w:r>
        <w:rPr>
          <w:rFonts w:hint="default" w:ascii="方正黑体" w:hAnsi="方正黑体" w:eastAsia="方正黑体" w:cs="方正黑体"/>
          <w:i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0"/>
        <w:jc w:val="center"/>
        <w:rPr>
          <w:rFonts w:hint="eastAsia" w:ascii="微软雅黑" w:hAnsi="微软雅黑" w:eastAsia="微软雅黑" w:cs="微软雅黑"/>
          <w:i w:val="0"/>
          <w:caps w:val="0"/>
          <w:color w:val="000000"/>
          <w:spacing w:val="0"/>
          <w:sz w:val="18"/>
          <w:szCs w:val="18"/>
        </w:rPr>
      </w:pPr>
      <w:r>
        <w:rPr>
          <w:rFonts w:hint="default" w:ascii="方正黑体" w:hAnsi="方正黑体" w:eastAsia="方正黑体" w:cs="方正黑体"/>
          <w:i w:val="0"/>
          <w:caps w:val="0"/>
          <w:color w:val="000000"/>
          <w:spacing w:val="0"/>
          <w:sz w:val="32"/>
          <w:szCs w:val="32"/>
        </w:rPr>
        <w:t>第五部分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590" w:lineRule="atLeast"/>
        <w:ind w:left="0" w:right="0" w:firstLine="600"/>
        <w:rPr>
          <w:rFonts w:hint="eastAsia" w:ascii="微软雅黑" w:hAnsi="微软雅黑" w:eastAsia="微软雅黑" w:cs="微软雅黑"/>
          <w:i w:val="0"/>
          <w:caps w:val="0"/>
          <w:color w:val="000000"/>
          <w:spacing w:val="0"/>
          <w:sz w:val="18"/>
          <w:szCs w:val="18"/>
        </w:rPr>
      </w:pPr>
      <w:r>
        <w:rPr>
          <w:rFonts w:hint="default" w:ascii="方正仿宋" w:hAnsi="方正仿宋" w:eastAsia="方正仿宋" w:cs="方正仿宋"/>
          <w:i w:val="0"/>
          <w:caps w:val="0"/>
          <w:color w:val="000000"/>
          <w:spacing w:val="0"/>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0" w:afterAutospacing="0" w:line="590" w:lineRule="atLeast"/>
        <w:ind w:left="0" w:right="0" w:firstLine="600"/>
        <w:rPr>
          <w:rFonts w:hint="eastAsia" w:ascii="微软雅黑" w:hAnsi="微软雅黑" w:eastAsia="微软雅黑" w:cs="微软雅黑"/>
          <w:i w:val="0"/>
          <w:caps w:val="0"/>
          <w:color w:val="000000"/>
          <w:spacing w:val="0"/>
          <w:sz w:val="18"/>
          <w:szCs w:val="18"/>
        </w:rPr>
      </w:pPr>
      <w:r>
        <w:rPr>
          <w:rFonts w:ascii="方正小标宋简体" w:hAnsi="方正小标宋简体" w:eastAsia="方正小标宋简体" w:cs="方正小标宋简体"/>
          <w:i w:val="0"/>
          <w:caps w:val="0"/>
          <w:color w:val="000000"/>
          <w:spacing w:val="0"/>
          <w:sz w:val="36"/>
          <w:szCs w:val="3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000000"/>
          <w:spacing w:val="0"/>
          <w:sz w:val="36"/>
          <w:szCs w:val="36"/>
        </w:rPr>
      </w:pPr>
      <w:r>
        <w:rPr>
          <w:rFonts w:hint="default" w:ascii="Arial" w:hAnsi="Arial" w:eastAsia="微软雅黑" w:cs="Arial"/>
          <w:b/>
          <w:i w:val="0"/>
          <w:caps w:val="0"/>
          <w:color w:val="000000"/>
          <w:spacing w:val="0"/>
          <w:sz w:val="36"/>
          <w:szCs w:val="36"/>
        </w:rPr>
        <w:t>监督索引号53042200620300301111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
    <w:altName w:val="黑体"/>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031DD"/>
    <w:rsid w:val="3F491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2023-09-22T01:37:00Z</dcterms:created>
  <dc:creator>Lenovo</dc:creator>
  <cp:lastModifiedBy>师师</cp:lastModifiedBy>
  <dcterms:modified xsi:type="dcterms:W3CDTF">2023-09-22T02:06:34Z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