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w w:val="90"/>
          <w:sz w:val="112"/>
          <w:szCs w:val="112"/>
        </w:rPr>
      </w:pPr>
      <w:r>
        <w:rPr>
          <w:rFonts w:hint="eastAsia" w:ascii="方正小标宋_GBK" w:hAnsi="方正小标宋_GBK" w:eastAsia="方正小标宋_GBK" w:cs="方正小标宋_GBK"/>
          <w:b/>
          <w:bCs/>
          <w:color w:val="FF0000"/>
          <w:spacing w:val="-14"/>
          <w:w w:val="90"/>
          <w:sz w:val="112"/>
          <w:szCs w:val="112"/>
          <w:lang w:val="en-US" w:eastAsia="zh-CN"/>
        </w:rPr>
        <w:t>华宁县</w:t>
      </w:r>
      <w:r>
        <w:rPr>
          <w:rFonts w:hint="eastAsia" w:ascii="方正小标宋_GBK" w:hAnsi="方正小标宋_GBK" w:eastAsia="方正小标宋_GBK" w:cs="方正小标宋_GBK"/>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华财农〔2022〕66号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6"/>
      <w:bookmarkStart w:id="1" w:name="OLE_LINK7"/>
      <w:bookmarkStart w:id="2" w:name="OLE_LINK1"/>
      <w:bookmarkStart w:id="3" w:name="OLE_LINK2"/>
      <w:bookmarkStart w:id="4" w:name="OLE_LINK4"/>
      <w:bookmarkStart w:id="5" w:name="OLE_LINK5"/>
    </w:p>
    <w:bookmarkEnd w:id="0"/>
    <w:bookmarkEnd w:id="1"/>
    <w:bookmarkEnd w:id="2"/>
    <w:bookmarkEnd w:id="3"/>
    <w:p>
      <w:pPr>
        <w:spacing w:line="590" w:lineRule="exact"/>
        <w:jc w:val="center"/>
        <w:outlineLvl w:val="0"/>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val="en-US" w:eastAsia="zh-CN"/>
        </w:rPr>
        <w:t>2022年中央财政</w:t>
      </w:r>
    </w:p>
    <w:p>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衔接推进乡村振兴补助资金预算</w:t>
      </w:r>
      <w:r>
        <w:rPr>
          <w:rFonts w:hint="eastAsia" w:ascii="方正小标宋_GBK" w:hAnsi="方正小标宋_GBK" w:eastAsia="方正小标宋_GBK" w:cs="方正小标宋_GBK"/>
          <w:sz w:val="44"/>
          <w:szCs w:val="44"/>
        </w:rPr>
        <w:t>的通知</w:t>
      </w:r>
    </w:p>
    <w:bookmarkEnd w:id="4"/>
    <w:bookmarkEnd w:id="5"/>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通红甸乡政府、华溪镇人民政府、宁州街道办事处机关、青龙镇政府、华宁县乡村振兴局</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bidi="ar"/>
        </w:rPr>
        <w:t>据《</w:t>
      </w:r>
      <w:r>
        <w:rPr>
          <w:rFonts w:hint="eastAsia" w:ascii="Times New Roman" w:hAnsi="Times New Roman" w:eastAsia="方正仿宋_GBK"/>
          <w:sz w:val="32"/>
          <w:szCs w:val="32"/>
          <w:lang w:val="en-US" w:eastAsia="zh-CN" w:bidi="ar"/>
        </w:rPr>
        <w:t>玉溪市财政局关于下达2022年中央财政衔接推进乡村振兴补助资金预算的通知》(玉财农〔2022〕84号)及</w:t>
      </w:r>
      <w:r>
        <w:rPr>
          <w:rFonts w:hint="eastAsia" w:ascii="Times New Roman" w:hAnsi="Times New Roman" w:eastAsia="方正仿宋_GBK"/>
          <w:sz w:val="32"/>
          <w:szCs w:val="32"/>
          <w:lang w:bidi="ar"/>
        </w:rPr>
        <w:t>《华宁县人民政府关于</w:t>
      </w:r>
      <w:r>
        <w:rPr>
          <w:rFonts w:hint="eastAsia" w:ascii="Times New Roman" w:hAnsi="Times New Roman" w:eastAsia="方正仿宋_GBK"/>
          <w:sz w:val="32"/>
          <w:szCs w:val="32"/>
          <w:lang w:eastAsia="zh-CN" w:bidi="ar"/>
        </w:rPr>
        <w:t>2022年中央财政第二批衔接推进乡村振兴补助资金项目分配及项目实施的</w:t>
      </w:r>
      <w:r>
        <w:rPr>
          <w:rFonts w:hint="eastAsia" w:ascii="Times New Roman" w:hAnsi="Times New Roman" w:eastAsia="方正仿宋_GBK"/>
          <w:sz w:val="32"/>
          <w:szCs w:val="32"/>
          <w:lang w:bidi="ar"/>
        </w:rPr>
        <w:t>批复</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eastAsia="zh-CN" w:bidi="ar"/>
        </w:rPr>
        <w:t>华政复〔202</w:t>
      </w:r>
      <w:r>
        <w:rPr>
          <w:rFonts w:hint="eastAsia" w:ascii="Times New Roman" w:hAnsi="Times New Roman" w:eastAsia="方正仿宋_GBK"/>
          <w:sz w:val="32"/>
          <w:szCs w:val="32"/>
          <w:lang w:val="en-US" w:eastAsia="zh-CN" w:bidi="ar"/>
        </w:rPr>
        <w:t>2</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34</w:t>
      </w:r>
      <w:r>
        <w:rPr>
          <w:rFonts w:hint="eastAsia" w:ascii="Times New Roman" w:hAnsi="Times New Roman" w:eastAsia="方正仿宋_GBK"/>
          <w:sz w:val="32"/>
          <w:szCs w:val="32"/>
          <w:lang w:eastAsia="zh-CN" w:bidi="ar"/>
        </w:rPr>
        <w:t>号</w:t>
      </w:r>
      <w:r>
        <w:rPr>
          <w:rFonts w:hint="eastAsia" w:ascii="Times New Roman" w:hAnsi="Times New Roman" w:eastAsia="方正仿宋_GBK"/>
          <w:sz w:val="32"/>
          <w:szCs w:val="32"/>
          <w:lang w:val="en-US" w:eastAsia="zh-CN" w:bidi="ar"/>
        </w:rPr>
        <w:t>)文件</w:t>
      </w:r>
      <w:r>
        <w:rPr>
          <w:rFonts w:hint="eastAsia" w:ascii="Times New Roman" w:hAnsi="Times New Roman" w:eastAsia="方正仿宋_GBK"/>
          <w:sz w:val="32"/>
          <w:szCs w:val="32"/>
          <w:lang w:bidi="ar"/>
        </w:rPr>
        <w:t>，现将</w:t>
      </w:r>
      <w:r>
        <w:rPr>
          <w:rFonts w:hint="eastAsia" w:ascii="Times New Roman" w:hAnsi="Times New Roman" w:eastAsia="方正仿宋_GBK"/>
          <w:sz w:val="32"/>
          <w:szCs w:val="32"/>
          <w:lang w:val="en-US" w:eastAsia="zh-CN" w:bidi="ar"/>
        </w:rPr>
        <w:t>2022年中央财政衔接推进乡村振兴补助资金预算355万</w:t>
      </w:r>
      <w:r>
        <w:rPr>
          <w:rFonts w:hint="eastAsia" w:ascii="Times New Roman" w:hAnsi="Times New Roman" w:eastAsia="方正仿宋_GBK"/>
          <w:sz w:val="32"/>
          <w:szCs w:val="32"/>
          <w:lang w:bidi="ar"/>
        </w:rPr>
        <w:t>元下达给你</w:t>
      </w:r>
      <w:r>
        <w:rPr>
          <w:rFonts w:hint="eastAsia" w:ascii="Times New Roman" w:hAnsi="Times New Roman" w:eastAsia="方正仿宋_GBK"/>
          <w:sz w:val="32"/>
          <w:szCs w:val="32"/>
          <w:lang w:eastAsia="zh-CN" w:bidi="ar"/>
        </w:rPr>
        <w:t>们</w:t>
      </w:r>
      <w:r>
        <w:rPr>
          <w:rFonts w:hint="eastAsia" w:ascii="Times New Roman" w:hAnsi="Times New Roman" w:eastAsia="方正仿宋_GBK"/>
          <w:sz w:val="32"/>
          <w:szCs w:val="32"/>
          <w:lang w:val="en-US" w:eastAsia="zh-CN" w:bidi="ar"/>
        </w:rPr>
        <w:t>,其中：县</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val="en-US" w:eastAsia="zh-CN" w:bidi="ar"/>
        </w:rPr>
        <w:t>3.55万元、宁州街道办41.96万元</w:t>
      </w:r>
      <w:r>
        <w:rPr>
          <w:rFonts w:hint="eastAsia" w:ascii="Times New Roman" w:hAnsi="Times New Roman" w:eastAsia="方正仿宋_GBK"/>
          <w:sz w:val="32"/>
          <w:szCs w:val="32"/>
          <w:lang w:eastAsia="zh-CN" w:bidi="ar"/>
        </w:rPr>
        <w:t>、青龙镇</w:t>
      </w:r>
      <w:r>
        <w:rPr>
          <w:rFonts w:hint="eastAsia" w:ascii="Times New Roman" w:hAnsi="Times New Roman" w:eastAsia="方正仿宋_GBK"/>
          <w:sz w:val="32"/>
          <w:szCs w:val="32"/>
          <w:lang w:val="en-US" w:eastAsia="zh-CN" w:bidi="ar"/>
        </w:rPr>
        <w:t>95.49万元、华溪镇145万元、通红甸乡69万元</w:t>
      </w:r>
      <w:r>
        <w:rPr>
          <w:rFonts w:hint="eastAsia" w:ascii="Times New Roman" w:hAnsi="Times New Roman" w:eastAsia="方正仿宋_GBK"/>
          <w:sz w:val="32"/>
          <w:szCs w:val="32"/>
          <w:lang w:eastAsia="zh-CN" w:bidi="ar"/>
        </w:rPr>
        <w:t>。</w:t>
      </w:r>
      <w:r>
        <w:rPr>
          <w:rFonts w:ascii="Times New Roman" w:hAnsi="Times New Roman" w:eastAsia="方正仿宋_GBK"/>
          <w:sz w:val="32"/>
          <w:szCs w:val="32"/>
          <w:lang w:bidi="ar"/>
        </w:rPr>
        <w:t>（具体预算单位、金额、科目名称、预算项目详见附表）</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项目审批下达后，县</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、县财政局应在审批通过的5个工作日内通过“OA电子政务系统”向市</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黑体" w:hAnsi="黑体" w:eastAsia="黑体" w:cs="黑体"/>
          <w:b w:val="0"/>
          <w:bCs w:val="0"/>
          <w:sz w:val="32"/>
          <w:szCs w:val="32"/>
          <w:lang w:eastAsia="zh-CN" w:bidi="ar"/>
        </w:rPr>
        <w:t>附件：</w:t>
      </w:r>
      <w:r>
        <w:rPr>
          <w:rFonts w:hint="eastAsia" w:ascii="Times New Roman" w:hAnsi="Times New Roman" w:eastAsia="方正仿宋_GBK"/>
          <w:sz w:val="32"/>
          <w:szCs w:val="32"/>
          <w:lang w:val="en-US" w:eastAsia="zh-CN" w:bidi="ar"/>
        </w:rPr>
        <w:t>1、2022年中央财政衔接推进乡村振兴补助资金预算表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val="en-US" w:eastAsia="zh-CN" w:bidi="ar"/>
        </w:rPr>
        <w:t>2、2022年中央财政衔接推进乡村振兴补助资金绩效目标表</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sz w:val="32"/>
        </w:rPr>
        <w:pict>
          <v:shape id="_x0000_s1027" o:spid="_x0000_s1027" o:spt="201" alt="" type="#_x0000_t201" style="position:absolute;left:0pt;margin-left:260.2pt;margin-top:-37.75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ascii="Times New Roman" w:hAnsi="Times New Roman" w:eastAsia="方正仿宋_GBK"/>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eastAsia" w:ascii="Times New Roman" w:hAnsi="Times New Roman" w:eastAsia="方正仿宋_GBK"/>
          <w:sz w:val="32"/>
          <w:szCs w:val="32"/>
        </w:rPr>
        <w:t>2022</w:t>
      </w:r>
      <w:r>
        <w:rPr>
          <w:rFonts w:ascii="Times New Roman" w:hAnsi="Times New Roman" w:eastAsia="方正仿宋_GBK"/>
          <w:sz w:val="32"/>
          <w:szCs w:val="32"/>
        </w:rPr>
        <w:t>年</w:t>
      </w:r>
      <w:r>
        <w:rPr>
          <w:rFonts w:hint="eastAsia" w:ascii="Times New Roman" w:hAnsi="Times New Roman" w:eastAsia="仿宋_GB2312"/>
          <w:sz w:val="32"/>
          <w:szCs w:val="32"/>
        </w:rPr>
        <w:t>5</w:t>
      </w:r>
      <w:r>
        <w:rPr>
          <w:rFonts w:ascii="Times New Roman" w:hAnsi="Times New Roman" w:eastAsia="方正仿宋_GBK"/>
          <w:sz w:val="32"/>
          <w:szCs w:val="32"/>
        </w:rPr>
        <w:t>月</w:t>
      </w:r>
      <w:r>
        <w:rPr>
          <w:rFonts w:hint="eastAsia" w:ascii="Times New Roman" w:hAnsi="Times New Roman" w:eastAsia="仿宋_GB2312"/>
          <w:sz w:val="32"/>
          <w:szCs w:val="32"/>
        </w:rPr>
        <w:t>25</w:t>
      </w:r>
      <w:r>
        <w:rPr>
          <w:rFonts w:ascii="Times New Roman" w:hAnsi="Times New Roman" w:eastAsia="方正仿宋_GBK"/>
          <w:sz w:val="32"/>
          <w:szCs w:val="32"/>
        </w:rPr>
        <w:t>日</w:t>
      </w: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 xml:space="preserve">  2022年中央财政衔接推进乡村振兴补助资金预算</w:t>
      </w:r>
      <w:r>
        <w:rPr>
          <w:rFonts w:hint="eastAsia" w:ascii="方正小标宋_GBK" w:hAnsi="方正小标宋_GBK" w:eastAsia="方正小标宋_GBK" w:cs="方正小标宋_GBK"/>
          <w:sz w:val="40"/>
          <w:szCs w:val="40"/>
        </w:rPr>
        <w:t>表</w:t>
      </w:r>
    </w:p>
    <w:tbl>
      <w:tblPr>
        <w:tblStyle w:val="5"/>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43"/>
        <w:gridCol w:w="1869"/>
        <w:gridCol w:w="1791"/>
        <w:gridCol w:w="1620"/>
        <w:gridCol w:w="1931"/>
        <w:gridCol w:w="1485"/>
        <w:gridCol w:w="1485"/>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0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643"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86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791"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162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931"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85" w:type="dxa"/>
            <w:tcBorders>
              <w:top w:val="single" w:color="auto" w:sz="4" w:space="0"/>
            </w:tcBorders>
            <w:vAlign w:val="center"/>
          </w:tcPr>
          <w:p>
            <w:pPr>
              <w:spacing w:line="300" w:lineRule="exact"/>
              <w:jc w:val="center"/>
              <w:rPr>
                <w:rFonts w:hint="default" w:ascii="Times New Roman" w:hAnsi="Times New Roman" w:eastAsia="方正仿宋_GBK"/>
                <w:b/>
                <w:color w:val="000000"/>
                <w:sz w:val="22"/>
                <w:lang w:val="en-US" w:eastAsia="zh-CN"/>
              </w:rPr>
            </w:pPr>
            <w:r>
              <w:rPr>
                <w:rFonts w:hint="eastAsia" w:ascii="Times New Roman" w:hAnsi="Times New Roman" w:eastAsia="方正仿宋_GBK"/>
                <w:b/>
                <w:color w:val="000000"/>
                <w:sz w:val="22"/>
                <w:lang w:val="en-US" w:eastAsia="zh-CN"/>
              </w:rPr>
              <w:t>指标来源</w:t>
            </w:r>
          </w:p>
        </w:tc>
        <w:tc>
          <w:tcPr>
            <w:tcW w:w="148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1007"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05" w:type="dxa"/>
            <w:vAlign w:val="center"/>
          </w:tcPr>
          <w:p>
            <w:pPr>
              <w:spacing w:line="300" w:lineRule="exact"/>
              <w:jc w:val="center"/>
              <w:rPr>
                <w:rFonts w:hint="eastAsia" w:ascii="方正仿宋_GBK" w:hAnsi="方正仿宋_GBK" w:eastAsia="方正仿宋_GBK" w:cs="方正仿宋_GBK"/>
                <w:color w:val="FF0000"/>
                <w:sz w:val="21"/>
                <w:szCs w:val="21"/>
              </w:rPr>
            </w:pPr>
            <w:r>
              <w:t>574001.通红甸乡政府</w:t>
            </w:r>
          </w:p>
        </w:tc>
        <w:tc>
          <w:tcPr>
            <w:tcW w:w="1643" w:type="dxa"/>
            <w:vAlign w:val="center"/>
          </w:tcPr>
          <w:p>
            <w:pPr>
              <w:spacing w:line="300" w:lineRule="exact"/>
              <w:jc w:val="center"/>
              <w:rPr>
                <w:rFonts w:hint="eastAsia" w:ascii="方正仿宋_GBK" w:hAnsi="方正仿宋_GBK" w:eastAsia="方正仿宋_GBK" w:cs="方正仿宋_GBK"/>
                <w:color w:val="FF0000"/>
                <w:sz w:val="21"/>
                <w:szCs w:val="21"/>
              </w:rPr>
            </w:pPr>
            <w:r>
              <w:t>2130505.农林水支出/巩固脱贫衔接乡村振兴/生产发展</w:t>
            </w:r>
          </w:p>
        </w:tc>
        <w:tc>
          <w:tcPr>
            <w:tcW w:w="1869" w:type="dxa"/>
            <w:vAlign w:val="center"/>
          </w:tcPr>
          <w:p>
            <w:pPr>
              <w:spacing w:line="300" w:lineRule="exact"/>
              <w:jc w:val="center"/>
              <w:rPr>
                <w:rFonts w:hint="eastAsia" w:ascii="方正仿宋_GBK" w:hAnsi="方正仿宋_GBK" w:eastAsia="方正仿宋_GBK" w:cs="方正仿宋_GBK"/>
                <w:color w:val="FF0000"/>
                <w:sz w:val="21"/>
                <w:szCs w:val="21"/>
              </w:rPr>
            </w:pPr>
            <w:r>
              <w:t>50302.机关资本性支出（一）/基础设施建设</w:t>
            </w:r>
          </w:p>
        </w:tc>
        <w:tc>
          <w:tcPr>
            <w:tcW w:w="1791" w:type="dxa"/>
            <w:vAlign w:val="center"/>
          </w:tcPr>
          <w:p>
            <w:pPr>
              <w:spacing w:line="300" w:lineRule="exact"/>
              <w:jc w:val="center"/>
              <w:rPr>
                <w:rFonts w:hint="eastAsia" w:ascii="方正仿宋_GBK" w:hAnsi="方正仿宋_GBK" w:eastAsia="方正仿宋_GBK" w:cs="方正仿宋_GBK"/>
                <w:color w:val="FF0000"/>
                <w:sz w:val="21"/>
                <w:szCs w:val="21"/>
              </w:rPr>
            </w:pPr>
            <w:r>
              <w:t>32.特定目标类/民生类</w:t>
            </w:r>
          </w:p>
        </w:tc>
        <w:tc>
          <w:tcPr>
            <w:tcW w:w="1620" w:type="dxa"/>
            <w:vAlign w:val="center"/>
          </w:tcPr>
          <w:p>
            <w:pPr>
              <w:spacing w:line="300" w:lineRule="exact"/>
              <w:jc w:val="center"/>
              <w:rPr>
                <w:rFonts w:hint="eastAsia" w:ascii="方正仿宋_GBK" w:hAnsi="方正仿宋_GBK" w:eastAsia="方正仿宋_GBK" w:cs="方正仿宋_GBK"/>
                <w:color w:val="000000"/>
                <w:sz w:val="21"/>
                <w:szCs w:val="21"/>
              </w:rPr>
            </w:pPr>
            <w:r>
              <w:t>2021年华宁县通红甸乡么波冲绵羊养殖示范基地建设项目补助资金</w:t>
            </w:r>
          </w:p>
        </w:tc>
        <w:tc>
          <w:tcPr>
            <w:tcW w:w="1931" w:type="dxa"/>
            <w:vAlign w:val="center"/>
          </w:tcPr>
          <w:p>
            <w:pPr>
              <w:spacing w:line="300" w:lineRule="exact"/>
              <w:jc w:val="center"/>
              <w:rPr>
                <w:rFonts w:hint="eastAsia" w:ascii="方正仿宋_GBK" w:hAnsi="方正仿宋_GBK" w:eastAsia="方正仿宋_GBK" w:cs="方正仿宋_GBK"/>
                <w:color w:val="000000"/>
                <w:sz w:val="21"/>
                <w:szCs w:val="21"/>
              </w:rPr>
            </w:pPr>
            <w:r>
              <w:t>2022年中央财政衔接推进乡村振兴补助资金</w:t>
            </w:r>
          </w:p>
        </w:tc>
        <w:tc>
          <w:tcPr>
            <w:tcW w:w="1485" w:type="dxa"/>
            <w:vAlign w:val="center"/>
          </w:tcPr>
          <w:p>
            <w:pPr>
              <w:spacing w:line="300" w:lineRule="exact"/>
              <w:jc w:val="center"/>
              <w:rPr>
                <w:rFonts w:hint="eastAsia" w:ascii="方正仿宋_GBK" w:hAnsi="方正仿宋_GBK" w:eastAsia="方正仿宋_GBK" w:cs="方正仿宋_GBK"/>
                <w:color w:val="000000"/>
                <w:sz w:val="21"/>
                <w:szCs w:val="21"/>
              </w:rPr>
            </w:pPr>
            <w:r>
              <w:t>212.上级补助/年初安排/一般性转移支付</w:t>
            </w:r>
          </w:p>
        </w:tc>
        <w:tc>
          <w:tcPr>
            <w:tcW w:w="1485" w:type="dxa"/>
            <w:vAlign w:val="center"/>
          </w:tcPr>
          <w:p>
            <w:pPr>
              <w:spacing w:line="300" w:lineRule="exact"/>
              <w:jc w:val="center"/>
              <w:rPr>
                <w:rFonts w:hint="eastAsia" w:ascii="方正仿宋_GBK" w:hAnsi="方正仿宋_GBK" w:eastAsia="方正仿宋_GBK" w:cs="方正仿宋_GBK"/>
                <w:color w:val="000000"/>
                <w:sz w:val="21"/>
                <w:szCs w:val="21"/>
              </w:rPr>
            </w:pPr>
            <w:r>
              <w:t>540,000.00</w:t>
            </w:r>
          </w:p>
        </w:tc>
        <w:tc>
          <w:tcPr>
            <w:tcW w:w="1007"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jc w:val="center"/>
            </w:pPr>
            <w:r>
              <w:t>574001.通红甸乡政府</w:t>
            </w:r>
          </w:p>
        </w:tc>
        <w:tc>
          <w:tcPr>
            <w:tcW w:w="1643" w:type="dxa"/>
            <w:vAlign w:val="center"/>
          </w:tcPr>
          <w:p>
            <w:pPr>
              <w:jc w:val="center"/>
            </w:pPr>
            <w:r>
              <w:t>2130505.农林水支出/巩固脱贫衔接乡村振兴/生产发展</w:t>
            </w:r>
          </w:p>
        </w:tc>
        <w:tc>
          <w:tcPr>
            <w:tcW w:w="1869" w:type="dxa"/>
            <w:vAlign w:val="center"/>
          </w:tcPr>
          <w:p>
            <w:pPr>
              <w:jc w:val="center"/>
            </w:pPr>
            <w:r>
              <w:t>50302.机关资本性支出（一）/基础设施建设</w:t>
            </w:r>
          </w:p>
        </w:tc>
        <w:tc>
          <w:tcPr>
            <w:tcW w:w="1791" w:type="dxa"/>
            <w:vAlign w:val="center"/>
          </w:tcPr>
          <w:p>
            <w:pPr>
              <w:jc w:val="center"/>
            </w:pPr>
            <w:r>
              <w:t>32.特定目标类/民生类</w:t>
            </w:r>
          </w:p>
        </w:tc>
        <w:tc>
          <w:tcPr>
            <w:tcW w:w="1620" w:type="dxa"/>
            <w:vAlign w:val="center"/>
          </w:tcPr>
          <w:p>
            <w:pPr>
              <w:jc w:val="center"/>
            </w:pPr>
            <w:r>
              <w:t>2022年华宁县通红甸乡么波冲产业发展道路建设项目专项资金</w:t>
            </w:r>
          </w:p>
        </w:tc>
        <w:tc>
          <w:tcPr>
            <w:tcW w:w="1931" w:type="dxa"/>
            <w:vAlign w:val="center"/>
          </w:tcPr>
          <w:p>
            <w:pPr>
              <w:jc w:val="center"/>
            </w:pPr>
            <w:r>
              <w:t>2022年中央财政衔接推进乡村振兴补助资金</w:t>
            </w:r>
          </w:p>
        </w:tc>
        <w:tc>
          <w:tcPr>
            <w:tcW w:w="1485" w:type="dxa"/>
            <w:vAlign w:val="center"/>
          </w:tcPr>
          <w:p>
            <w:pPr>
              <w:jc w:val="center"/>
            </w:pPr>
            <w:r>
              <w:t>212.上级补助/年初安排/一般性转移支付</w:t>
            </w:r>
          </w:p>
        </w:tc>
        <w:tc>
          <w:tcPr>
            <w:tcW w:w="1485" w:type="dxa"/>
            <w:vAlign w:val="center"/>
          </w:tcPr>
          <w:p>
            <w:pPr>
              <w:jc w:val="center"/>
            </w:pPr>
            <w:r>
              <w:t>150,000.00</w:t>
            </w:r>
          </w:p>
        </w:tc>
        <w:tc>
          <w:tcPr>
            <w:tcW w:w="10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jc w:val="center"/>
            </w:pPr>
            <w:r>
              <w:t>573001.华溪镇人民政府</w:t>
            </w:r>
          </w:p>
        </w:tc>
        <w:tc>
          <w:tcPr>
            <w:tcW w:w="1643" w:type="dxa"/>
            <w:vAlign w:val="center"/>
          </w:tcPr>
          <w:p>
            <w:pPr>
              <w:jc w:val="center"/>
            </w:pPr>
            <w:r>
              <w:t>2130504.农林水支出/巩固脱贫衔接乡村振兴/农村基础设施建设</w:t>
            </w:r>
          </w:p>
        </w:tc>
        <w:tc>
          <w:tcPr>
            <w:tcW w:w="1869" w:type="dxa"/>
            <w:vAlign w:val="center"/>
          </w:tcPr>
          <w:p>
            <w:pPr>
              <w:jc w:val="center"/>
            </w:pPr>
            <w:r>
              <w:t>50302.机关资本性支出（一）/基础设施建设</w:t>
            </w:r>
          </w:p>
        </w:tc>
        <w:tc>
          <w:tcPr>
            <w:tcW w:w="1791" w:type="dxa"/>
            <w:vAlign w:val="center"/>
          </w:tcPr>
          <w:p>
            <w:pPr>
              <w:jc w:val="center"/>
            </w:pPr>
            <w:r>
              <w:t>32.特定目标类/民生类</w:t>
            </w:r>
          </w:p>
        </w:tc>
        <w:tc>
          <w:tcPr>
            <w:tcW w:w="1620" w:type="dxa"/>
            <w:vAlign w:val="center"/>
          </w:tcPr>
          <w:p>
            <w:pPr>
              <w:jc w:val="center"/>
            </w:pPr>
            <w:r>
              <w:t>2021年华宁县华溪镇黑牛白村农产品交易市场建设项目补助资金</w:t>
            </w:r>
          </w:p>
        </w:tc>
        <w:tc>
          <w:tcPr>
            <w:tcW w:w="1931" w:type="dxa"/>
            <w:vAlign w:val="center"/>
          </w:tcPr>
          <w:p>
            <w:pPr>
              <w:jc w:val="center"/>
            </w:pPr>
            <w:r>
              <w:t>2022年中央财政衔接推进乡村振兴补助资金</w:t>
            </w:r>
          </w:p>
        </w:tc>
        <w:tc>
          <w:tcPr>
            <w:tcW w:w="1485" w:type="dxa"/>
            <w:vAlign w:val="center"/>
          </w:tcPr>
          <w:p>
            <w:pPr>
              <w:jc w:val="center"/>
            </w:pPr>
            <w:r>
              <w:t>212.上级补助/年初安排/一般性转移支付</w:t>
            </w:r>
          </w:p>
        </w:tc>
        <w:tc>
          <w:tcPr>
            <w:tcW w:w="1485" w:type="dxa"/>
            <w:vAlign w:val="center"/>
          </w:tcPr>
          <w:p>
            <w:pPr>
              <w:jc w:val="center"/>
            </w:pPr>
            <w:r>
              <w:t>1,450,000.00</w:t>
            </w:r>
          </w:p>
        </w:tc>
        <w:tc>
          <w:tcPr>
            <w:tcW w:w="10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405" w:type="dxa"/>
            <w:vAlign w:val="center"/>
          </w:tcPr>
          <w:p>
            <w:pPr>
              <w:jc w:val="center"/>
            </w:pPr>
            <w:r>
              <w:t>551001.宁州街道办事处机关</w:t>
            </w:r>
          </w:p>
        </w:tc>
        <w:tc>
          <w:tcPr>
            <w:tcW w:w="1643" w:type="dxa"/>
            <w:vAlign w:val="center"/>
          </w:tcPr>
          <w:p>
            <w:pPr>
              <w:jc w:val="center"/>
            </w:pPr>
            <w:r>
              <w:t>2130505.农林水支出/巩固脱贫衔接乡村振兴/生产发展</w:t>
            </w:r>
          </w:p>
        </w:tc>
        <w:tc>
          <w:tcPr>
            <w:tcW w:w="1869" w:type="dxa"/>
            <w:vAlign w:val="center"/>
          </w:tcPr>
          <w:p>
            <w:pPr>
              <w:jc w:val="center"/>
            </w:pPr>
            <w:r>
              <w:t>50302.机关资本性支出（一）/基础设施建设</w:t>
            </w:r>
          </w:p>
        </w:tc>
        <w:tc>
          <w:tcPr>
            <w:tcW w:w="1791" w:type="dxa"/>
            <w:vAlign w:val="center"/>
          </w:tcPr>
          <w:p>
            <w:pPr>
              <w:jc w:val="center"/>
            </w:pPr>
            <w:r>
              <w:t>32.特定目标类/民生类</w:t>
            </w:r>
          </w:p>
        </w:tc>
        <w:tc>
          <w:tcPr>
            <w:tcW w:w="1620" w:type="dxa"/>
            <w:vAlign w:val="center"/>
          </w:tcPr>
          <w:p>
            <w:pPr>
              <w:jc w:val="center"/>
            </w:pPr>
            <w:r>
              <w:t>宁州街道2021年沙果村旅游产业发展配套设施建设项目补助衔接专项资金</w:t>
            </w:r>
          </w:p>
        </w:tc>
        <w:tc>
          <w:tcPr>
            <w:tcW w:w="1931" w:type="dxa"/>
            <w:vAlign w:val="center"/>
          </w:tcPr>
          <w:p>
            <w:pPr>
              <w:jc w:val="center"/>
            </w:pPr>
            <w:r>
              <w:t>2022年中央财政衔接推进乡村振兴补助资金</w:t>
            </w:r>
          </w:p>
        </w:tc>
        <w:tc>
          <w:tcPr>
            <w:tcW w:w="1485" w:type="dxa"/>
            <w:vAlign w:val="center"/>
          </w:tcPr>
          <w:p>
            <w:pPr>
              <w:jc w:val="center"/>
            </w:pPr>
            <w:r>
              <w:t>212.上级补助/年初安排/一般性转移支付</w:t>
            </w:r>
          </w:p>
        </w:tc>
        <w:tc>
          <w:tcPr>
            <w:tcW w:w="1485" w:type="dxa"/>
            <w:vAlign w:val="center"/>
          </w:tcPr>
          <w:p>
            <w:pPr>
              <w:jc w:val="center"/>
            </w:pPr>
            <w:r>
              <w:t>419,600.00</w:t>
            </w:r>
          </w:p>
        </w:tc>
        <w:tc>
          <w:tcPr>
            <w:tcW w:w="10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jc w:val="center"/>
            </w:pPr>
            <w:r>
              <w:t>571001.青龙镇政府</w:t>
            </w:r>
          </w:p>
        </w:tc>
        <w:tc>
          <w:tcPr>
            <w:tcW w:w="1643" w:type="dxa"/>
            <w:vAlign w:val="center"/>
          </w:tcPr>
          <w:p>
            <w:pPr>
              <w:jc w:val="center"/>
            </w:pPr>
            <w:r>
              <w:t>2130505.农林水支出/巩固脱贫衔接乡村振兴/生产发展</w:t>
            </w:r>
          </w:p>
        </w:tc>
        <w:tc>
          <w:tcPr>
            <w:tcW w:w="1869" w:type="dxa"/>
            <w:vAlign w:val="center"/>
          </w:tcPr>
          <w:p>
            <w:pPr>
              <w:jc w:val="center"/>
            </w:pPr>
            <w:r>
              <w:t>50302.机关资本性支出（一）/基础设施建设</w:t>
            </w:r>
          </w:p>
        </w:tc>
        <w:tc>
          <w:tcPr>
            <w:tcW w:w="1791" w:type="dxa"/>
            <w:vAlign w:val="center"/>
          </w:tcPr>
          <w:p>
            <w:pPr>
              <w:jc w:val="center"/>
            </w:pPr>
            <w:r>
              <w:t>32.特定目标类/民生类</w:t>
            </w:r>
          </w:p>
        </w:tc>
        <w:tc>
          <w:tcPr>
            <w:tcW w:w="1620" w:type="dxa"/>
            <w:vAlign w:val="center"/>
          </w:tcPr>
          <w:p>
            <w:pPr>
              <w:jc w:val="center"/>
            </w:pPr>
            <w:r>
              <w:t>2021年华宁县青龙镇落梅村拖别生猪养殖示范基地建设项目专项资金</w:t>
            </w:r>
          </w:p>
        </w:tc>
        <w:tc>
          <w:tcPr>
            <w:tcW w:w="1931" w:type="dxa"/>
            <w:vAlign w:val="center"/>
          </w:tcPr>
          <w:p>
            <w:pPr>
              <w:jc w:val="center"/>
            </w:pPr>
            <w:r>
              <w:t>2022年中央财政衔接推进乡村振兴补助资金</w:t>
            </w:r>
          </w:p>
        </w:tc>
        <w:tc>
          <w:tcPr>
            <w:tcW w:w="1485" w:type="dxa"/>
            <w:vAlign w:val="center"/>
          </w:tcPr>
          <w:p>
            <w:pPr>
              <w:jc w:val="center"/>
            </w:pPr>
            <w:r>
              <w:t>212.上级补助/年初安排/一般性转移支付</w:t>
            </w:r>
          </w:p>
        </w:tc>
        <w:tc>
          <w:tcPr>
            <w:tcW w:w="1485" w:type="dxa"/>
            <w:vAlign w:val="center"/>
          </w:tcPr>
          <w:p>
            <w:pPr>
              <w:jc w:val="center"/>
            </w:pPr>
            <w:r>
              <w:t>954,900.00</w:t>
            </w:r>
          </w:p>
        </w:tc>
        <w:tc>
          <w:tcPr>
            <w:tcW w:w="10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5" w:type="dxa"/>
            <w:vAlign w:val="center"/>
          </w:tcPr>
          <w:p>
            <w:pPr>
              <w:jc w:val="center"/>
            </w:pPr>
            <w:r>
              <w:t>285001.华宁县乡村振兴局</w:t>
            </w:r>
          </w:p>
        </w:tc>
        <w:tc>
          <w:tcPr>
            <w:tcW w:w="1643" w:type="dxa"/>
            <w:vAlign w:val="center"/>
          </w:tcPr>
          <w:p>
            <w:pPr>
              <w:jc w:val="center"/>
            </w:pPr>
            <w:r>
              <w:t>2130599.农林水支出/巩固脱贫衔接乡村振兴/其他巩固脱贫衔接乡村振兴支出</w:t>
            </w:r>
          </w:p>
        </w:tc>
        <w:tc>
          <w:tcPr>
            <w:tcW w:w="1869" w:type="dxa"/>
            <w:vAlign w:val="center"/>
          </w:tcPr>
          <w:p>
            <w:pPr>
              <w:jc w:val="center"/>
            </w:pPr>
            <w:r>
              <w:t>50201.机关商品和服务支出/办公经费</w:t>
            </w:r>
          </w:p>
        </w:tc>
        <w:tc>
          <w:tcPr>
            <w:tcW w:w="1791" w:type="dxa"/>
            <w:vAlign w:val="center"/>
          </w:tcPr>
          <w:p>
            <w:pPr>
              <w:jc w:val="center"/>
            </w:pPr>
            <w:r>
              <w:t>32.特定目标类/民生类</w:t>
            </w:r>
          </w:p>
        </w:tc>
        <w:tc>
          <w:tcPr>
            <w:tcW w:w="1620" w:type="dxa"/>
            <w:vAlign w:val="center"/>
          </w:tcPr>
          <w:p>
            <w:pPr>
              <w:jc w:val="center"/>
            </w:pPr>
            <w:r>
              <w:t>华宁县2022年中央财政第二批衔接推进乡村振兴补助资金项目管理费专项资金</w:t>
            </w:r>
          </w:p>
        </w:tc>
        <w:tc>
          <w:tcPr>
            <w:tcW w:w="1931" w:type="dxa"/>
            <w:vAlign w:val="center"/>
          </w:tcPr>
          <w:p>
            <w:pPr>
              <w:jc w:val="center"/>
            </w:pPr>
            <w:r>
              <w:t>2022年中央财政衔接推进乡村振兴补助资金</w:t>
            </w:r>
          </w:p>
        </w:tc>
        <w:tc>
          <w:tcPr>
            <w:tcW w:w="1485" w:type="dxa"/>
            <w:vAlign w:val="center"/>
          </w:tcPr>
          <w:p>
            <w:pPr>
              <w:jc w:val="center"/>
            </w:pPr>
            <w:r>
              <w:t>212.上级补助/年初安排/一般性转移支付</w:t>
            </w:r>
          </w:p>
        </w:tc>
        <w:tc>
          <w:tcPr>
            <w:tcW w:w="1485" w:type="dxa"/>
            <w:vAlign w:val="center"/>
          </w:tcPr>
          <w:p>
            <w:pPr>
              <w:jc w:val="center"/>
            </w:pPr>
            <w:r>
              <w:t>35,500.00</w:t>
            </w:r>
          </w:p>
        </w:tc>
        <w:tc>
          <w:tcPr>
            <w:tcW w:w="100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1744" w:type="dxa"/>
            <w:gridSpan w:val="7"/>
          </w:tcPr>
          <w:p>
            <w:pPr>
              <w:jc w:val="center"/>
            </w:pPr>
            <w:r>
              <w:t>合计</w:t>
            </w:r>
          </w:p>
        </w:tc>
        <w:tc>
          <w:tcPr>
            <w:tcW w:w="1485" w:type="dxa"/>
          </w:tcPr>
          <w:p>
            <w:pPr>
              <w:jc w:val="center"/>
            </w:pPr>
            <w:r>
              <w:t>3,550,000.00</w:t>
            </w:r>
          </w:p>
        </w:tc>
        <w:tc>
          <w:tcPr>
            <w:tcW w:w="1007" w:type="dxa"/>
          </w:tcP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2</w:t>
      </w:r>
    </w:p>
    <w:tbl>
      <w:tblPr>
        <w:tblStyle w:val="5"/>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0"/>
        <w:gridCol w:w="982"/>
        <w:gridCol w:w="1339"/>
        <w:gridCol w:w="1432"/>
        <w:gridCol w:w="2412"/>
        <w:gridCol w:w="1246"/>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928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9280" w:type="dxa"/>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0"/>
                <w:rFonts w:eastAsia="宋体"/>
                <w:lang w:val="en-US" w:eastAsia="zh-CN" w:bidi="ar"/>
              </w:rPr>
              <w:t>2021</w:t>
            </w:r>
            <w:r>
              <w:rPr>
                <w:rStyle w:val="11"/>
                <w:lang w:val="en-US" w:eastAsia="zh-CN" w:bidi="ar"/>
              </w:rPr>
              <w:t>年华宁县通红甸乡么波冲绵羊养殖示范基地建设项目（先建后补）</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6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年度资金总额：54万元</w:t>
            </w:r>
          </w:p>
        </w:tc>
        <w:tc>
          <w:tcPr>
            <w:tcW w:w="48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总投资54万元，全部为中央财政衔接推进乡村振兴补助资金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16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8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《华宁县人民政府关于</w:t>
            </w:r>
            <w:r>
              <w:rPr>
                <w:rStyle w:val="10"/>
                <w:rFonts w:eastAsia="宋体"/>
                <w:lang w:val="en-US" w:eastAsia="zh-CN" w:bidi="ar"/>
              </w:rPr>
              <w:t>2022</w:t>
            </w:r>
            <w:r>
              <w:rPr>
                <w:rStyle w:val="12"/>
                <w:lang w:val="en-US" w:eastAsia="zh-CN" w:bidi="ar"/>
              </w:rPr>
              <w:t>年中央财政第二批衔接推进乡村振兴补助资金项目分配及项目实施的批复》（华政复〔</w:t>
            </w:r>
            <w:r>
              <w:rPr>
                <w:rStyle w:val="10"/>
                <w:rFonts w:eastAsia="宋体"/>
                <w:lang w:val="en-US" w:eastAsia="zh-CN" w:bidi="ar"/>
              </w:rPr>
              <w:t>2022</w:t>
            </w:r>
            <w:r>
              <w:rPr>
                <w:rStyle w:val="12"/>
                <w:lang w:val="en-US" w:eastAsia="zh-CN" w:bidi="ar"/>
              </w:rPr>
              <w:t>〕</w:t>
            </w:r>
            <w:r>
              <w:rPr>
                <w:rStyle w:val="10"/>
                <w:rFonts w:eastAsia="宋体"/>
                <w:lang w:val="en-US" w:eastAsia="zh-CN" w:bidi="ar"/>
              </w:rPr>
              <w:t>34</w:t>
            </w:r>
            <w:r>
              <w:rPr>
                <w:rStyle w:val="12"/>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63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8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在所梅早么波冲新建绵羊养殖小区，对么波冲村民小组牲畜养殖进行组织化管理，保护么波冲片区生态环境，推进么波冲乡村振兴示范点打造。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养殖小区新建太阳能灯</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示范基地内道路硬化</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受益农户人口数</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结构设计使用年限</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0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280" w:type="dxa"/>
            <w:gridSpan w:val="7"/>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bl>
    <w:p>
      <w:pPr>
        <w:pStyle w:val="2"/>
        <w:rPr>
          <w:rFonts w:hint="eastAsia"/>
          <w:lang w:val="en-US" w:eastAsia="zh-CN"/>
        </w:rPr>
      </w:pPr>
    </w:p>
    <w:p>
      <w:pPr>
        <w:spacing w:line="300" w:lineRule="exact"/>
        <w:jc w:val="left"/>
        <w:rPr>
          <w:rFonts w:ascii="Times New Roman" w:hAnsi="Times New Roman" w:eastAsia="仿宋_GB2312"/>
          <w:sz w:val="28"/>
          <w:szCs w:val="28"/>
        </w:rPr>
      </w:pPr>
    </w:p>
    <w:p>
      <w:pPr>
        <w:pStyle w:val="2"/>
      </w:pPr>
    </w:p>
    <w:tbl>
      <w:tblPr>
        <w:tblStyle w:val="5"/>
        <w:tblW w:w="9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9"/>
        <w:gridCol w:w="980"/>
        <w:gridCol w:w="1336"/>
        <w:gridCol w:w="1739"/>
        <w:gridCol w:w="2096"/>
        <w:gridCol w:w="1244"/>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atLeast"/>
        </w:trPr>
        <w:tc>
          <w:tcPr>
            <w:tcW w:w="926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260" w:type="dxa"/>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w:t>
            </w:r>
            <w:r>
              <w:rPr>
                <w:rFonts w:ascii="方正书宋_GBK" w:hAnsi="方正书宋_GBK" w:eastAsia="方正书宋_GBK" w:cs="方正书宋_GBK"/>
                <w:i w:val="0"/>
                <w:color w:val="000000"/>
                <w:kern w:val="0"/>
                <w:sz w:val="20"/>
                <w:szCs w:val="20"/>
                <w:u w:val="none"/>
                <w:lang w:val="en-US" w:eastAsia="zh-CN" w:bidi="ar"/>
              </w:rPr>
              <w:t>年华宁县通红甸乡么波冲产业发展道路建设项目（先建后补）</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16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年度资金总额：15万元</w:t>
            </w:r>
          </w:p>
        </w:tc>
        <w:tc>
          <w:tcPr>
            <w:tcW w:w="45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总投资15万元，全部为中央财政衔接推进乡村振兴补助资金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1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5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《华宁县人民政府关于</w:t>
            </w:r>
            <w:r>
              <w:rPr>
                <w:rFonts w:hint="default" w:ascii="Times New Roman" w:hAnsi="Times New Roman" w:eastAsia="宋体" w:cs="Times New Roman"/>
                <w:i w:val="0"/>
                <w:color w:val="000000"/>
                <w:kern w:val="0"/>
                <w:sz w:val="20"/>
                <w:szCs w:val="20"/>
                <w:u w:val="none"/>
                <w:lang w:val="en-US" w:eastAsia="zh-CN" w:bidi="ar"/>
              </w:rPr>
              <w:t>2022</w:t>
            </w:r>
            <w:r>
              <w:rPr>
                <w:rFonts w:hint="eastAsia" w:ascii="宋体" w:hAnsi="宋体" w:eastAsia="宋体" w:cs="宋体"/>
                <w:i w:val="0"/>
                <w:color w:val="000000"/>
                <w:kern w:val="0"/>
                <w:sz w:val="20"/>
                <w:szCs w:val="20"/>
                <w:u w:val="none"/>
                <w:lang w:val="en-US" w:eastAsia="zh-CN" w:bidi="ar"/>
              </w:rPr>
              <w:t>年中央财政第二批衔接推进乡村振兴补助资金项目分配及项目实施的批复》（华政复〔</w:t>
            </w:r>
            <w:r>
              <w:rPr>
                <w:rFonts w:hint="default" w:ascii="Times New Roman" w:hAnsi="Times New Roman" w:eastAsia="宋体" w:cs="Times New Roman"/>
                <w:i w:val="0"/>
                <w:color w:val="000000"/>
                <w:kern w:val="0"/>
                <w:sz w:val="20"/>
                <w:szCs w:val="20"/>
                <w:u w:val="none"/>
                <w:lang w:val="en-US" w:eastAsia="zh-CN" w:bidi="ar"/>
              </w:rPr>
              <w:t>2022</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34</w:t>
            </w:r>
            <w:r>
              <w:rPr>
                <w:rFonts w:hint="eastAsia" w:ascii="宋体" w:hAnsi="宋体" w:eastAsia="宋体" w:cs="宋体"/>
                <w:i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16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55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3"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1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完成所梅早么波冲村民小组产业发展道路的新建。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3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新增硬化路面积</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平原区生产道路通达度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3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农民人均纯收入增长幅度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耕地质量</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水资源利用率</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受益贫困人口满意度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农业经营主体满意度</w:t>
            </w:r>
          </w:p>
        </w:tc>
        <w:tc>
          <w:tcPr>
            <w:tcW w:w="12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9260" w:type="dxa"/>
            <w:gridSpan w:val="7"/>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bl>
    <w:p>
      <w:pPr>
        <w:pStyle w:val="2"/>
      </w:pPr>
    </w:p>
    <w:tbl>
      <w:tblPr>
        <w:tblStyle w:val="5"/>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8"/>
        <w:gridCol w:w="8"/>
        <w:gridCol w:w="972"/>
        <w:gridCol w:w="21"/>
        <w:gridCol w:w="1315"/>
        <w:gridCol w:w="39"/>
        <w:gridCol w:w="1845"/>
        <w:gridCol w:w="300"/>
        <w:gridCol w:w="1651"/>
        <w:gridCol w:w="88"/>
        <w:gridCol w:w="1156"/>
        <w:gridCol w:w="105"/>
        <w:gridCol w:w="1112"/>
        <w:gridCol w:w="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8" w:hRule="atLeast"/>
        </w:trPr>
        <w:tc>
          <w:tcPr>
            <w:tcW w:w="938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trPr>
        <w:tc>
          <w:tcPr>
            <w:tcW w:w="9380" w:type="dxa"/>
            <w:gridSpan w:val="14"/>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0" w:hRule="atLeast"/>
        </w:trPr>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w:t>
            </w:r>
            <w:r>
              <w:rPr>
                <w:rFonts w:ascii="方正书宋_GBK" w:hAnsi="方正书宋_GBK" w:eastAsia="方正书宋_GBK" w:cs="方正书宋_GBK"/>
                <w:i w:val="0"/>
                <w:color w:val="000000"/>
                <w:kern w:val="0"/>
                <w:sz w:val="20"/>
                <w:szCs w:val="20"/>
                <w:u w:val="none"/>
                <w:lang w:val="en-US" w:eastAsia="zh-CN" w:bidi="ar"/>
              </w:rPr>
              <w:t>年华宁县华溪镇黑牛白村农产品交易市场建设项目（先建后补）</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普明亮13988424447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164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0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9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164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年度资金总额：145万元</w:t>
            </w:r>
          </w:p>
        </w:tc>
        <w:tc>
          <w:tcPr>
            <w:tcW w:w="45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总投资145万元，全部为中央财政衔接推进乡村振兴补助资金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3" w:hRule="atLeast"/>
        </w:trPr>
        <w:tc>
          <w:tcPr>
            <w:tcW w:w="16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5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3"/>
                <w:lang w:val="en-US" w:eastAsia="zh-CN" w:bidi="ar"/>
              </w:rPr>
              <w:t>《华宁县人民政府关于</w:t>
            </w:r>
            <w:r>
              <w:rPr>
                <w:rFonts w:hint="default" w:ascii="Times New Roman" w:hAnsi="Times New Roman" w:eastAsia="宋体" w:cs="Times New Roman"/>
                <w:i w:val="0"/>
                <w:color w:val="000000"/>
                <w:kern w:val="0"/>
                <w:sz w:val="20"/>
                <w:szCs w:val="20"/>
                <w:u w:val="none"/>
                <w:lang w:val="en-US" w:eastAsia="zh-CN" w:bidi="ar"/>
              </w:rPr>
              <w:t>2022</w:t>
            </w:r>
            <w:r>
              <w:rPr>
                <w:rStyle w:val="13"/>
                <w:lang w:val="en-US" w:eastAsia="zh-CN" w:bidi="ar"/>
              </w:rPr>
              <w:t>年中央财政第二批衔接推进乡村振兴补助资金项目分配及项目实施的批复》（华政复〔</w:t>
            </w:r>
            <w:r>
              <w:rPr>
                <w:rFonts w:hint="default" w:ascii="Times New Roman" w:hAnsi="Times New Roman" w:eastAsia="宋体" w:cs="Times New Roman"/>
                <w:i w:val="0"/>
                <w:color w:val="000000"/>
                <w:kern w:val="0"/>
                <w:sz w:val="20"/>
                <w:szCs w:val="20"/>
                <w:u w:val="none"/>
                <w:lang w:val="en-US" w:eastAsia="zh-CN" w:bidi="ar"/>
              </w:rPr>
              <w:t>2022</w:t>
            </w:r>
            <w:r>
              <w:rPr>
                <w:rStyle w:val="13"/>
                <w:lang w:val="en-US" w:eastAsia="zh-CN" w:bidi="ar"/>
              </w:rPr>
              <w:t>〕</w:t>
            </w:r>
            <w:r>
              <w:rPr>
                <w:rFonts w:hint="default" w:ascii="Times New Roman" w:hAnsi="Times New Roman" w:eastAsia="宋体" w:cs="Times New Roman"/>
                <w:i w:val="0"/>
                <w:color w:val="000000"/>
                <w:kern w:val="0"/>
                <w:sz w:val="20"/>
                <w:szCs w:val="20"/>
                <w:u w:val="none"/>
                <w:lang w:val="en-US" w:eastAsia="zh-CN" w:bidi="ar"/>
              </w:rPr>
              <w:t>34</w:t>
            </w:r>
            <w:r>
              <w:rPr>
                <w:rStyle w:val="13"/>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164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19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53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2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2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是C25砼市场地坪硬化2335㎡，C25砼路面、停车区硬化2690㎡；二是市场钢结构铝瓦顶大棚1800平方米，正在进行中（材料已到场加工）；三是未装修综合管理用房200㎡主体二层(综合管理用房占地100㎡）；四是配套照明设施1套，变压器及线路1套，地秤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5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配套照明设施1套，变压器及线路1套，地秤1台</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0"/>
                <w:szCs w:val="20"/>
                <w:u w:val="none"/>
              </w:rPr>
            </w:pPr>
            <w:r>
              <w:rPr>
                <w:rFonts w:hint="eastAsia" w:ascii="宋体" w:hAnsi="宋体" w:eastAsia="宋体" w:cs="宋体"/>
                <w:i w:val="0"/>
                <w:color w:val="FF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未装修综合管理用房200㎡主体二层(综合管理用房占地100㎡）</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市场钢结构铝瓦顶大棚1800平方米</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3" w:hRule="atLeast"/>
        </w:trPr>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C25砼市场地坪硬化2335㎡，C25砼路面、停车区硬化2690㎡</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9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工程使用年限</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14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建档立卡贫困户满意度</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7" w:hRule="atLeast"/>
        </w:trPr>
        <w:tc>
          <w:tcPr>
            <w:tcW w:w="9380" w:type="dxa"/>
            <w:gridSpan w:val="1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642" w:hRule="atLeast"/>
        </w:trPr>
        <w:tc>
          <w:tcPr>
            <w:tcW w:w="926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49" w:hRule="atLeast"/>
        </w:trPr>
        <w:tc>
          <w:tcPr>
            <w:tcW w:w="9260" w:type="dxa"/>
            <w:gridSpan w:val="13"/>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1304" w:hRule="atLeast"/>
        </w:trPr>
        <w:tc>
          <w:tcPr>
            <w:tcW w:w="16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4"/>
                <w:rFonts w:eastAsia="宋体"/>
                <w:lang w:val="en-US" w:eastAsia="zh-CN" w:bidi="ar"/>
              </w:rPr>
              <w:t>2021</w:t>
            </w:r>
            <w:r>
              <w:rPr>
                <w:rStyle w:val="15"/>
                <w:lang w:val="en-US" w:eastAsia="zh-CN" w:bidi="ar"/>
              </w:rPr>
              <w:t>年华宁县宁州街道沙果村旅游产业发展配套设施建设项目（先建后补）</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杨永贵13987735577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162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16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61"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652" w:hRule="atLeast"/>
        </w:trPr>
        <w:tc>
          <w:tcPr>
            <w:tcW w:w="16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年度资金总额：41.96万元</w:t>
            </w:r>
          </w:p>
        </w:tc>
        <w:tc>
          <w:tcPr>
            <w:tcW w:w="4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总投资41.96万元，全部为中央财政衔接推进乡村振兴补助资金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829" w:hRule="atLeast"/>
        </w:trPr>
        <w:tc>
          <w:tcPr>
            <w:tcW w:w="16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《华宁县人民政府关于</w:t>
            </w:r>
            <w:r>
              <w:rPr>
                <w:rStyle w:val="14"/>
                <w:rFonts w:eastAsia="宋体"/>
                <w:lang w:val="en-US" w:eastAsia="zh-CN" w:bidi="ar"/>
              </w:rPr>
              <w:t>2022</w:t>
            </w:r>
            <w:r>
              <w:rPr>
                <w:rStyle w:val="16"/>
                <w:lang w:val="en-US" w:eastAsia="zh-CN" w:bidi="ar"/>
              </w:rPr>
              <w:t>年中央财政第二批衔接推进乡村振兴补助资金项目分配及项目实施的批复》（华政复〔</w:t>
            </w:r>
            <w:r>
              <w:rPr>
                <w:rStyle w:val="14"/>
                <w:rFonts w:eastAsia="宋体"/>
                <w:lang w:val="en-US" w:eastAsia="zh-CN" w:bidi="ar"/>
              </w:rPr>
              <w:t>2022</w:t>
            </w:r>
            <w:r>
              <w:rPr>
                <w:rStyle w:val="16"/>
                <w:lang w:val="en-US" w:eastAsia="zh-CN" w:bidi="ar"/>
              </w:rPr>
              <w:t>〕</w:t>
            </w:r>
            <w:r>
              <w:rPr>
                <w:rStyle w:val="14"/>
                <w:rFonts w:eastAsia="宋体"/>
                <w:lang w:val="en-US" w:eastAsia="zh-CN" w:bidi="ar"/>
              </w:rPr>
              <w:t>34</w:t>
            </w:r>
            <w:r>
              <w:rPr>
                <w:rStyle w:val="16"/>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16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5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11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1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2075"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12"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项目村基础设施条件得到改善，项目设施的逐步完成，为游客提供更为舒适的观光条件，提升游客的满意度，拓宽群众生产发展道路，带动群众第一、三产业发展，帮助群众持续稳定增收。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旅游产业基础设施建设工程面积</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554.5平方米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乡村旅游景点开发数量</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466"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旅游产业基础设施验收合格率</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65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受益建档立卡脱贫人口</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65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旅游区居民满意度</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652" w:hRule="atLeast"/>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3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0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游客满意度</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20" w:type="dxa"/>
          <w:trHeight w:val="652" w:hRule="atLeast"/>
        </w:trPr>
        <w:tc>
          <w:tcPr>
            <w:tcW w:w="9260" w:type="dxa"/>
            <w:gridSpan w:val="13"/>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bl>
    <w:p>
      <w:pPr>
        <w:pStyle w:val="2"/>
      </w:pPr>
    </w:p>
    <w:p>
      <w:pPr>
        <w:spacing w:line="300" w:lineRule="exact"/>
        <w:jc w:val="left"/>
        <w:rPr>
          <w:rFonts w:ascii="Times New Roman" w:hAnsi="Times New Roman" w:eastAsia="仿宋_GB2312"/>
          <w:sz w:val="28"/>
          <w:szCs w:val="28"/>
        </w:rPr>
      </w:pPr>
    </w:p>
    <w:tbl>
      <w:tblPr>
        <w:tblStyle w:val="5"/>
        <w:tblW w:w="94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60"/>
        <w:gridCol w:w="997"/>
        <w:gridCol w:w="1359"/>
        <w:gridCol w:w="1453"/>
        <w:gridCol w:w="2449"/>
        <w:gridCol w:w="1264"/>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9" w:hRule="atLeast"/>
        </w:trPr>
        <w:tc>
          <w:tcPr>
            <w:tcW w:w="942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9420" w:type="dxa"/>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w:t>
            </w:r>
            <w:r>
              <w:rPr>
                <w:rStyle w:val="17"/>
                <w:lang w:val="en-US" w:eastAsia="zh-CN" w:bidi="ar"/>
              </w:rPr>
              <w:t>年华宁县青龙镇落梅村拖别生猪养殖示范基地建设项目（先建后补）</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刘庆飞0877-8886323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4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5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16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年度资金总额：95.49万元</w:t>
            </w:r>
          </w:p>
        </w:tc>
        <w:tc>
          <w:tcPr>
            <w:tcW w:w="49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总投资95.49万元，全部为中央财政衔接推进乡村振兴补助资金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1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9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7"/>
                <w:lang w:val="en-US" w:eastAsia="zh-CN" w:bidi="ar"/>
              </w:rPr>
              <w:t>《华宁县人民政府关于</w:t>
            </w:r>
            <w:r>
              <w:rPr>
                <w:rFonts w:hint="default" w:ascii="Times New Roman" w:hAnsi="Times New Roman" w:eastAsia="宋体" w:cs="Times New Roman"/>
                <w:i w:val="0"/>
                <w:color w:val="000000"/>
                <w:kern w:val="0"/>
                <w:sz w:val="20"/>
                <w:szCs w:val="20"/>
                <w:u w:val="none"/>
                <w:lang w:val="en-US" w:eastAsia="zh-CN" w:bidi="ar"/>
              </w:rPr>
              <w:t>2022</w:t>
            </w:r>
            <w:r>
              <w:rPr>
                <w:rStyle w:val="17"/>
                <w:lang w:val="en-US" w:eastAsia="zh-CN" w:bidi="ar"/>
              </w:rPr>
              <w:t>年中央财政第二批衔接推进乡村振兴补助资金项目分配及项目实施的批复》（华政复〔</w:t>
            </w:r>
            <w:r>
              <w:rPr>
                <w:rFonts w:hint="default" w:ascii="Times New Roman" w:hAnsi="Times New Roman" w:eastAsia="宋体" w:cs="Times New Roman"/>
                <w:i w:val="0"/>
                <w:color w:val="000000"/>
                <w:kern w:val="0"/>
                <w:sz w:val="20"/>
                <w:szCs w:val="20"/>
                <w:u w:val="none"/>
                <w:lang w:val="en-US" w:eastAsia="zh-CN" w:bidi="ar"/>
              </w:rPr>
              <w:t>2022</w:t>
            </w:r>
            <w:r>
              <w:rPr>
                <w:rStyle w:val="17"/>
                <w:lang w:val="en-US" w:eastAsia="zh-CN" w:bidi="ar"/>
              </w:rPr>
              <w:t>〕</w:t>
            </w:r>
            <w:r>
              <w:rPr>
                <w:rFonts w:hint="default" w:ascii="Times New Roman" w:hAnsi="Times New Roman" w:eastAsia="宋体" w:cs="Times New Roman"/>
                <w:i w:val="0"/>
                <w:color w:val="000000"/>
                <w:kern w:val="0"/>
                <w:sz w:val="20"/>
                <w:szCs w:val="20"/>
                <w:u w:val="none"/>
                <w:lang w:val="en-US" w:eastAsia="zh-CN" w:bidi="ar"/>
              </w:rPr>
              <w:t>34</w:t>
            </w:r>
            <w:r>
              <w:rPr>
                <w:rStyle w:val="17"/>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16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9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63"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76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发展壮大了集体经济，为村庄乡村振兴打下了坚实的基础；二、为当地无业贫困群众提供就业岗位，通过农村剩余劳动力的就业，提高群众生活质量水平，带动社会经济的发展，从而促进美丽乡村建设步伐；三、进一步提升拖别小组人居环境，改善群众居住条件；四、带动周边群众养殖业的发展，扩宽群众收入渠道，增加群众生产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新建生猪养殖示范基地占地面积</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≥1650平方米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项目（工程）验收合格率</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新建生猪养殖示范基地成本</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★★★受益建档立卡贫困人口数</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4"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受益人口数量</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工程使用年限</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16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建档立卡贫困户满意度</w:t>
            </w: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9" w:hRule="atLeast"/>
        </w:trPr>
        <w:tc>
          <w:tcPr>
            <w:tcW w:w="9420" w:type="dxa"/>
            <w:gridSpan w:val="7"/>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注：各地请根据实际情况，从上述绩效指标中选择适合的填报（可结合已下达的中央对地方专项转移支付绩效指标），也可自行增加或适当调整。</w:t>
            </w:r>
          </w:p>
        </w:tc>
      </w:tr>
    </w:tbl>
    <w:p>
      <w:pPr>
        <w:pStyle w:val="2"/>
      </w:pPr>
    </w:p>
    <w:tbl>
      <w:tblPr>
        <w:tblStyle w:val="5"/>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4"/>
        <w:gridCol w:w="988"/>
        <w:gridCol w:w="1348"/>
        <w:gridCol w:w="1440"/>
        <w:gridCol w:w="2428"/>
        <w:gridCol w:w="1255"/>
        <w:gridCol w:w="12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1" w:hRule="atLeast"/>
        </w:trPr>
        <w:tc>
          <w:tcPr>
            <w:tcW w:w="9340"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8" w:hRule="atLeast"/>
        </w:trPr>
        <w:tc>
          <w:tcPr>
            <w:tcW w:w="9340" w:type="dxa"/>
            <w:gridSpan w:val="7"/>
            <w:tcBorders>
              <w:top w:val="nil"/>
              <w:left w:val="nil"/>
              <w:bottom w:val="single" w:color="000000" w:sz="4" w:space="0"/>
              <w:right w:val="nil"/>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7"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华宁县2022年中央财政第二批衔接推进乡村振兴补助资金项目管理费</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刘梦可18469131594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6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7" w:hRule="atLeast"/>
        </w:trPr>
        <w:tc>
          <w:tcPr>
            <w:tcW w:w="164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年度资金总额：3.55万元</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总投资3.55万元，全部为中央财政衔接推进乡村振兴补助资金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trPr>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《华宁县人民政府关于</w:t>
            </w:r>
            <w:r>
              <w:rPr>
                <w:rFonts w:hint="default" w:ascii="Times New Roman" w:hAnsi="Times New Roman" w:eastAsia="宋体" w:cs="Times New Roman"/>
                <w:i w:val="0"/>
                <w:color w:val="000000"/>
                <w:kern w:val="0"/>
                <w:sz w:val="20"/>
                <w:szCs w:val="20"/>
                <w:u w:val="none"/>
                <w:lang w:val="en-US" w:eastAsia="zh-CN" w:bidi="ar"/>
              </w:rPr>
              <w:t>2022</w:t>
            </w:r>
            <w:r>
              <w:rPr>
                <w:rFonts w:hint="eastAsia" w:ascii="宋体" w:hAnsi="宋体" w:eastAsia="宋体" w:cs="宋体"/>
                <w:i w:val="0"/>
                <w:color w:val="000000"/>
                <w:kern w:val="0"/>
                <w:sz w:val="20"/>
                <w:szCs w:val="20"/>
                <w:u w:val="none"/>
                <w:lang w:val="en-US" w:eastAsia="zh-CN" w:bidi="ar"/>
              </w:rPr>
              <w:t>年中央财政第二批衔接推进乡村振兴补助资金项目分配及项目实施的批复》（华政复〔</w:t>
            </w:r>
            <w:r>
              <w:rPr>
                <w:rFonts w:hint="default" w:ascii="Times New Roman" w:hAnsi="Times New Roman" w:eastAsia="宋体" w:cs="Times New Roman"/>
                <w:i w:val="0"/>
                <w:color w:val="000000"/>
                <w:kern w:val="0"/>
                <w:sz w:val="20"/>
                <w:szCs w:val="20"/>
                <w:u w:val="none"/>
                <w:lang w:val="en-US" w:eastAsia="zh-CN" w:bidi="ar"/>
              </w:rPr>
              <w:t>2022</w:t>
            </w:r>
            <w:r>
              <w:rPr>
                <w:rFonts w:hint="eastAsia" w:ascii="宋体" w:hAnsi="宋体" w:eastAsia="宋体" w:cs="宋体"/>
                <w:i w:val="0"/>
                <w:color w:val="000000"/>
                <w:kern w:val="0"/>
                <w:sz w:val="20"/>
                <w:szCs w:val="20"/>
                <w:u w:val="none"/>
                <w:lang w:val="en-US" w:eastAsia="zh-CN" w:bidi="ar"/>
              </w:rPr>
              <w:t>〕</w:t>
            </w:r>
            <w:r>
              <w:rPr>
                <w:rFonts w:hint="default" w:ascii="Times New Roman" w:hAnsi="Times New Roman" w:eastAsia="宋体" w:cs="Times New Roman"/>
                <w:i w:val="0"/>
                <w:color w:val="000000"/>
                <w:kern w:val="0"/>
                <w:sz w:val="20"/>
                <w:szCs w:val="20"/>
                <w:u w:val="none"/>
                <w:lang w:val="en-US" w:eastAsia="zh-CN" w:bidi="ar"/>
              </w:rPr>
              <w:t>34</w:t>
            </w:r>
            <w:r>
              <w:rPr>
                <w:rFonts w:hint="eastAsia" w:ascii="宋体" w:hAnsi="宋体" w:eastAsia="宋体" w:cs="宋体"/>
                <w:i w:val="0"/>
                <w:color w:val="000000"/>
                <w:kern w:val="0"/>
                <w:sz w:val="20"/>
                <w:szCs w:val="20"/>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64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7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9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6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8"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8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专门用于与项目前期准备和实施相关的规划编制、项目评估、检查验收、绩效评价、成果宣传、档案管理、项目公告公示、资金监管经费开支。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按安排到县区的省、市级财政专项扶贫资金总额的比例据实列支</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严格遵守执行财政专项扶贫资金使用范围</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严格遵守执行财政专项扶贫资金开支管理规定</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w:t>
            </w: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使用财政扶贫项目管理费的时效性</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计划按最高不超过1%比例例据实列支的项目管理金额</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3.55</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为稳步推进扶贫项目建设、同步拨付扶贫资金提供有力补充</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为年度脱贫攻坚任务完成，确保贫困群众受益提供保障</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34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履行行政职能干部职工满意程度</w:t>
            </w:r>
          </w:p>
        </w:tc>
        <w:tc>
          <w:tcPr>
            <w:tcW w:w="12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4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1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项目实施区受益群众满意程度</w:t>
            </w:r>
          </w:p>
        </w:tc>
        <w:tc>
          <w:tcPr>
            <w:tcW w:w="12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pStyle w:val="2"/>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300" w:lineRule="exact"/>
        <w:jc w:val="left"/>
        <w:rPr>
          <w:rFonts w:ascii="Times New Roman" w:hAnsi="Times New Roman" w:eastAsia="仿宋_GB2312"/>
          <w:sz w:val="28"/>
          <w:szCs w:val="28"/>
        </w:rPr>
      </w:pPr>
    </w:p>
    <w:p>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pPr>
        <w:spacing w:line="520" w:lineRule="exact"/>
        <w:ind w:firstLine="280" w:firstLineChars="100"/>
        <w:rPr>
          <w:rFonts w:ascii="Times New Roman" w:hAnsi="Times New Roman" w:eastAsia="方正仿宋_GBK"/>
          <w:w w:val="90"/>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财政局</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5</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25</w:t>
      </w:r>
      <w:r>
        <w:rPr>
          <w:rFonts w:ascii="Times New Roman" w:hAnsi="Times New Roman" w:eastAsia="方正仿宋_GBK"/>
          <w:sz w:val="28"/>
          <w:szCs w:val="28"/>
        </w:rPr>
        <w:t>日印发</w:t>
      </w:r>
    </w:p>
    <w:p>
      <w:pPr>
        <w:spacing w:line="300" w:lineRule="exact"/>
        <w:jc w:val="left"/>
        <w:rPr>
          <w:rFonts w:ascii="Times New Roman" w:hAnsi="Times New Roman" w:eastAsia="方正仿宋_GBK"/>
          <w:sz w:val="28"/>
          <w:szCs w:val="28"/>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forms" w:enforcement="1" w:cryptProviderType="rsaFull" w:cryptAlgorithmClass="hash" w:cryptAlgorithmType="typeAny" w:cryptAlgorithmSid="4" w:cryptSpinCount="0" w:hash="T6rZIviEObuSwcLpcq/aR7EhYxs=" w:salt="bR1IN38CsKzn4tViJOKpi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111235D5"/>
    <w:rsid w:val="13673C4E"/>
    <w:rsid w:val="147D107E"/>
    <w:rsid w:val="154A0B34"/>
    <w:rsid w:val="17452DA5"/>
    <w:rsid w:val="17D659F1"/>
    <w:rsid w:val="17E44C80"/>
    <w:rsid w:val="1A5C76BB"/>
    <w:rsid w:val="1A7E5729"/>
    <w:rsid w:val="1ACD5465"/>
    <w:rsid w:val="1C9F2E01"/>
    <w:rsid w:val="20160915"/>
    <w:rsid w:val="20831E5B"/>
    <w:rsid w:val="220961D1"/>
    <w:rsid w:val="231670F5"/>
    <w:rsid w:val="244A79BC"/>
    <w:rsid w:val="26B25742"/>
    <w:rsid w:val="27FB1228"/>
    <w:rsid w:val="29341A44"/>
    <w:rsid w:val="29F123BC"/>
    <w:rsid w:val="29F606F1"/>
    <w:rsid w:val="2A1972AE"/>
    <w:rsid w:val="2DC5332A"/>
    <w:rsid w:val="2E2D512C"/>
    <w:rsid w:val="2E9B0537"/>
    <w:rsid w:val="306C5487"/>
    <w:rsid w:val="31D504D2"/>
    <w:rsid w:val="31FA6199"/>
    <w:rsid w:val="325D04D3"/>
    <w:rsid w:val="35072597"/>
    <w:rsid w:val="35C60DA5"/>
    <w:rsid w:val="36E733E8"/>
    <w:rsid w:val="37243EB8"/>
    <w:rsid w:val="3A9F2FE8"/>
    <w:rsid w:val="3C6B0C5F"/>
    <w:rsid w:val="3D0E68F7"/>
    <w:rsid w:val="3DFD770B"/>
    <w:rsid w:val="3EB710DB"/>
    <w:rsid w:val="3EF2EE75"/>
    <w:rsid w:val="41524D2E"/>
    <w:rsid w:val="441A37D3"/>
    <w:rsid w:val="460F4DB2"/>
    <w:rsid w:val="46FD4AB7"/>
    <w:rsid w:val="47291516"/>
    <w:rsid w:val="47EF57E2"/>
    <w:rsid w:val="4B5869BB"/>
    <w:rsid w:val="4B8725BB"/>
    <w:rsid w:val="4D0B020E"/>
    <w:rsid w:val="4E190719"/>
    <w:rsid w:val="521405B2"/>
    <w:rsid w:val="5437167A"/>
    <w:rsid w:val="545A6D75"/>
    <w:rsid w:val="556A5494"/>
    <w:rsid w:val="55C86D02"/>
    <w:rsid w:val="56562410"/>
    <w:rsid w:val="56847DB9"/>
    <w:rsid w:val="56B23EE3"/>
    <w:rsid w:val="56E8762C"/>
    <w:rsid w:val="5A71200C"/>
    <w:rsid w:val="5AF72459"/>
    <w:rsid w:val="5C497844"/>
    <w:rsid w:val="5C960873"/>
    <w:rsid w:val="5DEC6249"/>
    <w:rsid w:val="5F2E4200"/>
    <w:rsid w:val="5F5C0FE6"/>
    <w:rsid w:val="603A5AB0"/>
    <w:rsid w:val="61005D9A"/>
    <w:rsid w:val="613215AA"/>
    <w:rsid w:val="614A74F3"/>
    <w:rsid w:val="61E643DB"/>
    <w:rsid w:val="62582E28"/>
    <w:rsid w:val="65730378"/>
    <w:rsid w:val="66D718F3"/>
    <w:rsid w:val="67C055B0"/>
    <w:rsid w:val="67C4718E"/>
    <w:rsid w:val="680E6B20"/>
    <w:rsid w:val="69DE3E62"/>
    <w:rsid w:val="6B997CA1"/>
    <w:rsid w:val="6C2E46AC"/>
    <w:rsid w:val="6F0F55D1"/>
    <w:rsid w:val="702A24DF"/>
    <w:rsid w:val="716141D7"/>
    <w:rsid w:val="72B60684"/>
    <w:rsid w:val="73DD1208"/>
    <w:rsid w:val="77C9223D"/>
    <w:rsid w:val="77D4751C"/>
    <w:rsid w:val="7BDE3E05"/>
    <w:rsid w:val="DFE79270"/>
    <w:rsid w:val="EBB76BA8"/>
    <w:rsid w:val="F8B7B4A7"/>
    <w:rsid w:val="FBD7C43D"/>
    <w:rsid w:val="FFEEF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font41"/>
    <w:basedOn w:val="7"/>
    <w:qFormat/>
    <w:uiPriority w:val="0"/>
    <w:rPr>
      <w:rFonts w:hint="default" w:ascii="Times New Roman" w:hAnsi="Times New Roman" w:cs="Times New Roman"/>
      <w:color w:val="000000"/>
      <w:sz w:val="20"/>
      <w:szCs w:val="20"/>
      <w:u w:val="none"/>
    </w:rPr>
  </w:style>
  <w:style w:type="character" w:customStyle="1" w:styleId="11">
    <w:name w:val="font21"/>
    <w:basedOn w:val="7"/>
    <w:qFormat/>
    <w:uiPriority w:val="0"/>
    <w:rPr>
      <w:rFonts w:ascii="方正书宋_GBK" w:hAnsi="方正书宋_GBK" w:eastAsia="方正书宋_GBK" w:cs="方正书宋_GBK"/>
      <w:color w:val="000000"/>
      <w:sz w:val="20"/>
      <w:szCs w:val="20"/>
      <w:u w:val="none"/>
    </w:rPr>
  </w:style>
  <w:style w:type="character" w:customStyle="1" w:styleId="12">
    <w:name w:val="font01"/>
    <w:basedOn w:val="7"/>
    <w:qFormat/>
    <w:uiPriority w:val="0"/>
    <w:rPr>
      <w:rFonts w:hint="eastAsia" w:ascii="宋体" w:hAnsi="宋体" w:eastAsia="宋体" w:cs="宋体"/>
      <w:color w:val="000000"/>
      <w:sz w:val="20"/>
      <w:szCs w:val="20"/>
      <w:u w:val="none"/>
    </w:rPr>
  </w:style>
  <w:style w:type="character" w:customStyle="1" w:styleId="13">
    <w:name w:val="font81"/>
    <w:basedOn w:val="7"/>
    <w:qFormat/>
    <w:uiPriority w:val="0"/>
    <w:rPr>
      <w:rFonts w:hint="eastAsia" w:ascii="宋体" w:hAnsi="宋体" w:eastAsia="宋体" w:cs="宋体"/>
      <w:color w:val="000000"/>
      <w:sz w:val="20"/>
      <w:szCs w:val="20"/>
      <w:u w:val="none"/>
    </w:rPr>
  </w:style>
  <w:style w:type="character" w:customStyle="1" w:styleId="14">
    <w:name w:val="font31"/>
    <w:basedOn w:val="7"/>
    <w:qFormat/>
    <w:uiPriority w:val="0"/>
    <w:rPr>
      <w:rFonts w:hint="default" w:ascii="Times New Roman" w:hAnsi="Times New Roman" w:cs="Times New Roman"/>
      <w:color w:val="000000"/>
      <w:sz w:val="20"/>
      <w:szCs w:val="20"/>
      <w:u w:val="none"/>
    </w:rPr>
  </w:style>
  <w:style w:type="character" w:customStyle="1" w:styleId="15">
    <w:name w:val="font11"/>
    <w:basedOn w:val="7"/>
    <w:qFormat/>
    <w:uiPriority w:val="0"/>
    <w:rPr>
      <w:rFonts w:ascii="方正书宋_GBK" w:hAnsi="方正书宋_GBK" w:eastAsia="方正书宋_GBK" w:cs="方正书宋_GBK"/>
      <w:color w:val="000000"/>
      <w:sz w:val="20"/>
      <w:szCs w:val="20"/>
      <w:u w:val="none"/>
    </w:rPr>
  </w:style>
  <w:style w:type="character" w:customStyle="1" w:styleId="16">
    <w:name w:val="font51"/>
    <w:basedOn w:val="7"/>
    <w:qFormat/>
    <w:uiPriority w:val="0"/>
    <w:rPr>
      <w:rFonts w:hint="eastAsia" w:ascii="宋体" w:hAnsi="宋体" w:eastAsia="宋体" w:cs="宋体"/>
      <w:color w:val="000000"/>
      <w:sz w:val="20"/>
      <w:szCs w:val="20"/>
      <w:u w:val="none"/>
    </w:rPr>
  </w:style>
  <w:style w:type="character" w:customStyle="1" w:styleId="17">
    <w:name w:val="font6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1</TotalTime>
  <ScaleCrop>false</ScaleCrop>
  <LinksUpToDate>false</LinksUpToDate>
  <CharactersWithSpaces>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2018-09-07T01:32:00Z</dcterms:created>
  <dc:creator>市财政局</dc:creator>
  <cp:lastModifiedBy>Administrator</cp:lastModifiedBy>
  <dcterms:modified xsi:type="dcterms:W3CDTF">2022-05-26T02:00:24Z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5B3D4777F149432499F228235568C993</vt:lpwstr>
  </property>
  <property fmtid="{D5CDD505-2E9C-101B-9397-08002B2CF9AE}" pid="4" name="docranid">
    <vt:lpwstr>5586C1CE17F742A1BEED8A4727DD0B01</vt:lpwstr>
  </property>
</Properties>
</file>