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400" w:lineRule="exact"/>
        <w:ind w:left="0" w:leftChars="0" w:right="0" w:rightChars="0" w:firstLine="0" w:firstLineChars="0"/>
        <w:jc w:val="distribute"/>
        <w:textAlignment w:val="auto"/>
        <w:outlineLvl w:val="9"/>
        <w:rPr>
          <w:rFonts w:hint="eastAsia" w:ascii="方正仿宋_GBK" w:hAnsi="方正仿宋_GBK" w:eastAsia="方正仿宋_GBK" w:cs="方正仿宋_GBK"/>
          <w:color w:val="FF0000"/>
          <w:spacing w:val="0"/>
          <w:w w:val="70"/>
          <w:kern w:val="0"/>
          <w:sz w:val="32"/>
          <w:szCs w:val="32"/>
          <w:lang w:eastAsia="zh-CN"/>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澄财农〔2022〕</w:t>
      </w:r>
      <w:r>
        <w:rPr>
          <w:rFonts w:hint="eastAsia" w:ascii="方正仿宋_GBK" w:hAnsi="方正仿宋_GBK" w:eastAsia="方正仿宋_GBK" w:cs="方正仿宋_GBK"/>
          <w:sz w:val="32"/>
          <w:szCs w:val="32"/>
          <w:highlight w:val="none"/>
          <w:lang w:val="en-US" w:eastAsia="zh-CN"/>
        </w:rPr>
        <w:t>28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b/>
          <w:color w:val="FF0000"/>
          <w:spacing w:val="-28"/>
          <w:w w:val="90"/>
          <w:sz w:val="32"/>
          <w:szCs w:val="32"/>
        </w:rPr>
      </w:pPr>
      <w:bookmarkStart w:id="6" w:name="_GoBack"/>
      <w:bookmarkEnd w:id="6"/>
      <w:r>
        <w:rPr>
          <w:b/>
          <w:color w:val="FF0000"/>
          <w:spacing w:val="-28"/>
          <w:w w:val="90"/>
          <w:sz w:val="32"/>
          <w:szCs w:val="32"/>
        </w:rPr>
        <w:tab/>
      </w:r>
      <w:r>
        <w:rPr>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eastAsia" w:ascii="仿宋_GB2312" w:eastAsia="仿宋_GB2312"/>
          <w:color w:val="000000"/>
          <w:spacing w:val="-2"/>
          <w:w w:val="90"/>
          <w:sz w:val="32"/>
          <w:szCs w:val="32"/>
        </w:rPr>
      </w:pPr>
      <w:bookmarkStart w:id="0" w:name="OLE_LINK6"/>
      <w:bookmarkStart w:id="1" w:name="OLE_LINK2"/>
      <w:bookmarkStart w:id="2" w:name="OLE_LINK1"/>
      <w:bookmarkStart w:id="3" w:name="OLE_LINK7"/>
      <w:bookmarkStart w:id="4" w:name="OLE_LINK5"/>
      <w:bookmarkStart w:id="5" w:name="OLE_LINK4"/>
    </w:p>
    <w:bookmarkEnd w:id="0"/>
    <w:bookmarkEnd w:id="1"/>
    <w:bookmarkEnd w:id="2"/>
    <w:bookmarkEnd w:id="3"/>
    <w:p>
      <w:pPr>
        <w:spacing w:line="590" w:lineRule="exact"/>
        <w:jc w:val="center"/>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澄江市</w:t>
      </w:r>
      <w:r>
        <w:rPr>
          <w:rFonts w:hint="eastAsia" w:ascii="方正小标宋_GBK" w:hAnsi="方正小标宋_GBK" w:eastAsia="方正小标宋_GBK" w:cs="方正小标宋_GBK"/>
          <w:sz w:val="44"/>
          <w:szCs w:val="44"/>
        </w:rPr>
        <w:t>财政局</w:t>
      </w:r>
      <w:r>
        <w:rPr>
          <w:rFonts w:hint="eastAsia" w:ascii="方正小标宋_GBK" w:hAnsi="方正小标宋_GBK" w:eastAsia="方正小标宋_GBK" w:cs="方正小标宋_GBK"/>
          <w:sz w:val="44"/>
          <w:szCs w:val="44"/>
          <w:lang w:val="en-US" w:eastAsia="zh-CN"/>
        </w:rPr>
        <w:t xml:space="preserve"> 澄江市民族宗教事务局</w:t>
      </w:r>
      <w:r>
        <w:rPr>
          <w:rFonts w:hint="eastAsia" w:ascii="方正小标宋_GBK" w:hAnsi="方正小标宋_GBK" w:eastAsia="方正小标宋_GBK" w:cs="方正小标宋_GBK"/>
          <w:sz w:val="44"/>
          <w:szCs w:val="44"/>
        </w:rPr>
        <w:t>关于下达</w:t>
      </w:r>
      <w:r>
        <w:rPr>
          <w:rFonts w:hint="eastAsia" w:ascii="方正小标宋_GBK" w:hAnsi="方正小标宋_GBK" w:eastAsia="方正小标宋_GBK" w:cs="方正小标宋_GBK"/>
          <w:sz w:val="44"/>
          <w:szCs w:val="44"/>
          <w:lang w:eastAsia="zh-CN"/>
        </w:rPr>
        <w:t>2022年</w:t>
      </w:r>
      <w:r>
        <w:rPr>
          <w:rFonts w:hint="eastAsia" w:ascii="方正小标宋_GBK" w:hAnsi="方正小标宋_GBK" w:eastAsia="方正小标宋_GBK" w:cs="方正小标宋_GBK"/>
          <w:sz w:val="44"/>
          <w:szCs w:val="44"/>
          <w:lang w:val="en-US" w:eastAsia="zh-CN"/>
        </w:rPr>
        <w:t>中央、</w:t>
      </w:r>
      <w:r>
        <w:rPr>
          <w:rFonts w:hint="eastAsia" w:ascii="方正小标宋_GBK" w:hAnsi="方正小标宋_GBK" w:eastAsia="方正小标宋_GBK" w:cs="方正小标宋_GBK"/>
          <w:sz w:val="44"/>
          <w:szCs w:val="44"/>
          <w:lang w:eastAsia="zh-CN"/>
        </w:rPr>
        <w:t>省级财政衔接推进</w:t>
      </w:r>
    </w:p>
    <w:p>
      <w:pPr>
        <w:spacing w:line="590" w:lineRule="exact"/>
        <w:jc w:val="center"/>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乡村振兴补助资金（少数民族</w:t>
      </w:r>
    </w:p>
    <w:p>
      <w:pPr>
        <w:spacing w:line="590" w:lineRule="exact"/>
        <w:jc w:val="center"/>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eastAsia="zh-CN"/>
        </w:rPr>
        <w:t>发展任务）</w:t>
      </w:r>
      <w:r>
        <w:rPr>
          <w:rFonts w:hint="eastAsia" w:ascii="方正小标宋_GBK" w:hAnsi="方正小标宋_GBK" w:eastAsia="方正小标宋_GBK" w:cs="方正小标宋_GBK"/>
          <w:sz w:val="44"/>
          <w:szCs w:val="44"/>
        </w:rPr>
        <w:t>的通知</w:t>
      </w:r>
      <w:bookmarkEnd w:id="4"/>
      <w:bookmarkEnd w:id="5"/>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澄江市</w:t>
      </w:r>
      <w:r>
        <w:rPr>
          <w:rFonts w:hint="eastAsia" w:ascii="方正仿宋_GBK" w:hAnsi="方正仿宋_GBK" w:eastAsia="方正仿宋_GBK" w:cs="方正仿宋_GBK"/>
          <w:sz w:val="32"/>
          <w:szCs w:val="32"/>
          <w:lang w:val="en-US" w:eastAsia="zh-CN"/>
        </w:rPr>
        <w:t>路居镇人民政府、财政所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spacing w:line="590" w:lineRule="exact"/>
        <w:ind w:firstLine="645"/>
        <w:textAlignment w:val="auto"/>
        <w:rPr>
          <w:rFonts w:hint="eastAsia" w:ascii="Times New Roman" w:hAnsi="Times New Roman" w:eastAsia="方正仿宋_GBK"/>
          <w:sz w:val="32"/>
          <w:szCs w:val="32"/>
          <w:lang w:val="en-US" w:eastAsia="zh-CN" w:bidi="ar"/>
        </w:rPr>
      </w:pPr>
      <w:r>
        <w:rPr>
          <w:rFonts w:ascii="Times New Roman" w:hAnsi="Times New Roman" w:eastAsia="方正仿宋_GBK"/>
          <w:sz w:val="32"/>
          <w:szCs w:val="32"/>
          <w:lang w:bidi="ar"/>
        </w:rPr>
        <w:t>根据</w:t>
      </w:r>
      <w:r>
        <w:rPr>
          <w:rFonts w:hint="eastAsia" w:ascii="Times New Roman" w:hAnsi="Times New Roman" w:eastAsia="方正仿宋_GBK"/>
          <w:sz w:val="32"/>
          <w:szCs w:val="32"/>
          <w:highlight w:val="none"/>
          <w:lang w:val="en-US" w:eastAsia="zh-CN" w:bidi="ar"/>
        </w:rPr>
        <w:t>《玉溪市财政局关于下达2022年中央财政衔接推进乡村振兴补助资金预算的通知》（玉财农〔2022〕84号）、</w:t>
      </w:r>
      <w:r>
        <w:rPr>
          <w:rFonts w:hint="eastAsia" w:ascii="Times New Roman" w:hAnsi="Times New Roman" w:eastAsia="方正仿宋_GBK"/>
          <w:sz w:val="32"/>
          <w:szCs w:val="32"/>
          <w:lang w:eastAsia="zh-CN" w:bidi="ar"/>
        </w:rPr>
        <w:t>《玉溪市财政局关于下达2022年省级财政衔接推进乡村振兴补助资金（少数民族发展任务）的通知</w:t>
      </w:r>
      <w:r>
        <w:rPr>
          <w:rFonts w:hint="eastAsia" w:ascii="Times New Roman" w:hAnsi="Times New Roman" w:eastAsia="方正仿宋_GBK"/>
          <w:sz w:val="32"/>
          <w:szCs w:val="32"/>
          <w:lang w:val="en-US" w:eastAsia="zh-CN" w:bidi="ar"/>
        </w:rPr>
        <w:t>》（玉财农〔2022〕45号）文件精神</w:t>
      </w:r>
      <w:r>
        <w:rPr>
          <w:rFonts w:ascii="Times New Roman" w:hAnsi="Times New Roman" w:eastAsia="方正仿宋_GBK"/>
          <w:sz w:val="32"/>
          <w:szCs w:val="32"/>
          <w:lang w:bidi="ar"/>
        </w:rPr>
        <w:t>，</w:t>
      </w:r>
      <w:r>
        <w:rPr>
          <w:rFonts w:hint="default" w:ascii="Times New Roman" w:hAnsi="Times New Roman" w:eastAsia="方正仿宋_GBK" w:cs="Times New Roman"/>
          <w:sz w:val="32"/>
          <w:szCs w:val="32"/>
          <w:lang w:val="en-US" w:eastAsia="zh-CN"/>
        </w:rPr>
        <w:t>结合澄政复〔2022〕8</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号项目批复，</w:t>
      </w:r>
      <w:r>
        <w:rPr>
          <w:rFonts w:ascii="Times New Roman" w:hAnsi="Times New Roman" w:eastAsia="方正仿宋_GBK"/>
          <w:sz w:val="32"/>
          <w:szCs w:val="32"/>
          <w:lang w:bidi="ar"/>
        </w:rPr>
        <w:t>现下达你</w:t>
      </w:r>
      <w:r>
        <w:rPr>
          <w:rFonts w:hint="eastAsia" w:ascii="Times New Roman" w:hAnsi="Times New Roman" w:eastAsia="方正仿宋_GBK"/>
          <w:sz w:val="32"/>
          <w:szCs w:val="32"/>
          <w:lang w:bidi="ar"/>
        </w:rPr>
        <w:t>单位</w:t>
      </w:r>
      <w:r>
        <w:rPr>
          <w:rFonts w:hint="eastAsia" w:ascii="Times New Roman" w:hAnsi="Times New Roman" w:eastAsia="方正仿宋_GBK"/>
          <w:sz w:val="32"/>
          <w:szCs w:val="32"/>
          <w:lang w:eastAsia="zh-CN" w:bidi="ar"/>
        </w:rPr>
        <w:t>2022年</w:t>
      </w:r>
      <w:r>
        <w:rPr>
          <w:rFonts w:hint="eastAsia" w:ascii="Times New Roman" w:hAnsi="Times New Roman" w:eastAsia="方正仿宋_GBK"/>
          <w:sz w:val="32"/>
          <w:szCs w:val="32"/>
          <w:lang w:val="en-US" w:eastAsia="zh-CN" w:bidi="ar"/>
        </w:rPr>
        <w:t>中央、</w:t>
      </w:r>
      <w:r>
        <w:rPr>
          <w:rFonts w:hint="eastAsia" w:ascii="Times New Roman" w:hAnsi="Times New Roman" w:eastAsia="方正仿宋_GBK"/>
          <w:sz w:val="32"/>
          <w:szCs w:val="32"/>
          <w:lang w:eastAsia="zh-CN" w:bidi="ar"/>
        </w:rPr>
        <w:t>省级财政衔接推进乡村振兴补助资金（少数民族发展任务）</w:t>
      </w:r>
      <w:r>
        <w:rPr>
          <w:rFonts w:hint="eastAsia" w:ascii="Times New Roman" w:hAnsi="Times New Roman" w:eastAsia="方正仿宋_GBK"/>
          <w:sz w:val="32"/>
          <w:szCs w:val="32"/>
          <w:lang w:val="en-US" w:eastAsia="zh-CN" w:bidi="ar"/>
        </w:rPr>
        <w:t>162</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spacing w:line="590" w:lineRule="exact"/>
        <w:ind w:firstLine="645"/>
        <w:textAlignment w:val="auto"/>
        <w:rPr>
          <w:rFonts w:ascii="Times New Roman" w:hAnsi="Times New Roman" w:eastAsia="方正仿宋_GBK"/>
          <w:sz w:val="32"/>
          <w:szCs w:val="32"/>
        </w:rPr>
      </w:pPr>
      <w:r>
        <w:rPr>
          <w:rFonts w:ascii="Times New Roman" w:hAnsi="Times New Roman" w:eastAsia="方正仿宋_GBK"/>
          <w:sz w:val="32"/>
          <w:szCs w:val="32"/>
          <w:lang w:bidi="ar"/>
        </w:rPr>
        <w:t>收文后，请加快</w:t>
      </w:r>
      <w:r>
        <w:rPr>
          <w:rFonts w:hint="eastAsia" w:ascii="Times New Roman" w:hAnsi="Times New Roman" w:eastAsia="方正仿宋_GBK"/>
          <w:sz w:val="32"/>
          <w:szCs w:val="32"/>
          <w:lang w:eastAsia="zh-CN" w:bidi="ar"/>
        </w:rPr>
        <w:t>项目</w:t>
      </w:r>
      <w:r>
        <w:rPr>
          <w:rFonts w:ascii="Times New Roman" w:hAnsi="Times New Roman" w:eastAsia="方正仿宋_GBK"/>
          <w:sz w:val="32"/>
          <w:szCs w:val="32"/>
          <w:lang w:bidi="ar"/>
        </w:rPr>
        <w:t>执行进度，加强资金监管，严禁截留、挤占、挪用资金，充分发挥资金使用效益。</w:t>
      </w:r>
    </w:p>
    <w:p>
      <w:pPr>
        <w:keepNext w:val="0"/>
        <w:keepLines w:val="0"/>
        <w:pageBreakBefore w:val="0"/>
        <w:widowControl w:val="0"/>
        <w:kinsoku/>
        <w:wordWrap/>
        <w:overflowPunct/>
        <w:topLinePunct w:val="0"/>
        <w:autoSpaceDE/>
        <w:autoSpaceDN/>
        <w:bidi w:val="0"/>
        <w:snapToGrid/>
        <w:spacing w:line="590" w:lineRule="exact"/>
        <w:jc w:val="left"/>
        <w:textAlignment w:val="auto"/>
        <w:rPr>
          <w:rFonts w:ascii="Times New Roman" w:hAnsi="Times New Roman" w:eastAsia="方正仿宋_GBK"/>
          <w:color w:val="FF0000"/>
          <w:sz w:val="32"/>
          <w:szCs w:val="32"/>
        </w:rPr>
      </w:pPr>
    </w:p>
    <w:p>
      <w:pPr>
        <w:keepNext w:val="0"/>
        <w:keepLines w:val="0"/>
        <w:pageBreakBefore w:val="0"/>
        <w:widowControl w:val="0"/>
        <w:kinsoku/>
        <w:wordWrap/>
        <w:overflowPunct/>
        <w:topLinePunct w:val="0"/>
        <w:autoSpaceDE/>
        <w:autoSpaceDN/>
        <w:bidi w:val="0"/>
        <w:spacing w:line="590" w:lineRule="exact"/>
        <w:ind w:left="1380" w:leftChars="200" w:right="0" w:rightChars="0" w:hanging="960" w:hangingChars="3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sz w:val="32"/>
          <w:szCs w:val="32"/>
        </w:rPr>
        <w:t>附件：</w:t>
      </w:r>
      <w:r>
        <w:rPr>
          <w:rFonts w:hint="default" w:ascii="Times New Roman" w:hAnsi="Times New Roman" w:eastAsia="方正仿宋_GBK" w:cs="Times New Roman"/>
          <w:sz w:val="32"/>
          <w:szCs w:val="32"/>
          <w:lang w:val="en-US" w:eastAsia="zh-CN"/>
        </w:rPr>
        <w:t>1.澄江市</w:t>
      </w:r>
      <w:r>
        <w:rPr>
          <w:rFonts w:hint="default" w:ascii="Times New Roman" w:hAnsi="Times New Roman" w:eastAsia="方正仿宋_GBK" w:cs="Times New Roman"/>
          <w:color w:val="auto"/>
          <w:sz w:val="32"/>
          <w:szCs w:val="32"/>
          <w:lang w:val="en-US" w:eastAsia="zh-CN"/>
        </w:rPr>
        <w:t>2022年</w:t>
      </w:r>
      <w:r>
        <w:rPr>
          <w:rFonts w:hint="eastAsia" w:ascii="Times New Roman" w:hAnsi="Times New Roman" w:eastAsia="方正仿宋_GBK" w:cs="Times New Roman"/>
          <w:color w:val="auto"/>
          <w:sz w:val="32"/>
          <w:szCs w:val="32"/>
          <w:lang w:val="en-US" w:eastAsia="zh-CN"/>
        </w:rPr>
        <w:t>中央、省级</w:t>
      </w:r>
      <w:r>
        <w:rPr>
          <w:rFonts w:hint="default" w:ascii="Times New Roman" w:hAnsi="Times New Roman" w:eastAsia="方正仿宋_GBK" w:cs="Times New Roman"/>
          <w:color w:val="auto"/>
          <w:sz w:val="32"/>
          <w:szCs w:val="32"/>
          <w:lang w:val="en-US" w:eastAsia="zh-CN"/>
        </w:rPr>
        <w:t>财政衔接推进乡村振兴补助</w:t>
      </w:r>
      <w:r>
        <w:rPr>
          <w:rFonts w:hint="default" w:ascii="Times New Roman" w:hAnsi="Times New Roman" w:eastAsia="方正仿宋_GBK" w:cs="Times New Roman"/>
          <w:sz w:val="32"/>
          <w:szCs w:val="32"/>
          <w:lang w:eastAsia="zh-CN"/>
        </w:rPr>
        <w:t>资金分配</w:t>
      </w:r>
      <w:r>
        <w:rPr>
          <w:rFonts w:hint="default" w:ascii="Times New Roman" w:hAnsi="Times New Roman" w:eastAsia="方正仿宋_GBK" w:cs="Times New Roman"/>
          <w:sz w:val="32"/>
          <w:szCs w:val="32"/>
        </w:rPr>
        <w:t>表</w:t>
      </w:r>
    </w:p>
    <w:p>
      <w:pPr>
        <w:keepNext w:val="0"/>
        <w:keepLines w:val="0"/>
        <w:pageBreakBefore w:val="0"/>
        <w:widowControl w:val="0"/>
        <w:numPr>
          <w:ilvl w:val="0"/>
          <w:numId w:val="0"/>
        </w:numPr>
        <w:kinsoku/>
        <w:wordWrap/>
        <w:overflowPunct/>
        <w:topLinePunct w:val="0"/>
        <w:autoSpaceDE/>
        <w:autoSpaceDN/>
        <w:bidi w:val="0"/>
        <w:spacing w:line="590" w:lineRule="exact"/>
        <w:ind w:leftChars="500" w:right="0" w:rightChars="0" w:firstLine="320" w:firstLineChars="1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澄江市</w:t>
      </w:r>
      <w:r>
        <w:rPr>
          <w:rFonts w:hint="default" w:ascii="Times New Roman" w:hAnsi="Times New Roman" w:eastAsia="方正仿宋_GBK" w:cs="Times New Roman"/>
          <w:color w:val="auto"/>
          <w:sz w:val="32"/>
          <w:szCs w:val="32"/>
          <w:lang w:val="en-US" w:eastAsia="zh-CN"/>
        </w:rPr>
        <w:t>2022年</w:t>
      </w:r>
      <w:r>
        <w:rPr>
          <w:rFonts w:hint="eastAsia" w:ascii="Times New Roman" w:hAnsi="Times New Roman" w:eastAsia="方正仿宋_GBK" w:cs="Times New Roman"/>
          <w:color w:val="auto"/>
          <w:sz w:val="32"/>
          <w:szCs w:val="32"/>
          <w:lang w:val="en-US" w:eastAsia="zh-CN"/>
        </w:rPr>
        <w:t>中央、</w:t>
      </w:r>
      <w:r>
        <w:rPr>
          <w:rFonts w:hint="default" w:ascii="Times New Roman" w:hAnsi="Times New Roman" w:eastAsia="方正仿宋_GBK" w:cs="Times New Roman"/>
          <w:color w:val="auto"/>
          <w:sz w:val="32"/>
          <w:szCs w:val="32"/>
          <w:lang w:val="en-US" w:eastAsia="zh-CN"/>
        </w:rPr>
        <w:t>省级财政衔接推进乡村振兴补助资金</w:t>
      </w:r>
      <w:r>
        <w:rPr>
          <w:rFonts w:hint="default" w:ascii="Times New Roman" w:hAnsi="Times New Roman" w:eastAsia="方正仿宋_GBK" w:cs="Times New Roman"/>
          <w:sz w:val="32"/>
          <w:szCs w:val="32"/>
          <w:lang w:val="en-US" w:eastAsia="zh-CN"/>
        </w:rPr>
        <w:t>农村基础设施建设项目绩效目标表</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1920" w:firstLineChars="600"/>
        <w:jc w:val="lef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澄江</w:t>
      </w:r>
      <w:r>
        <w:rPr>
          <w:rFonts w:ascii="Times New Roman" w:hAnsi="Times New Roman" w:eastAsia="方正仿宋_GBK"/>
          <w:sz w:val="32"/>
          <w:szCs w:val="32"/>
        </w:rPr>
        <w:t>市财政局</w:t>
      </w:r>
      <w:r>
        <w:rPr>
          <w:rFonts w:hint="eastAsia" w:ascii="Times New Roman" w:hAnsi="Times New Roman" w:eastAsia="方正仿宋_GBK"/>
          <w:sz w:val="32"/>
          <w:szCs w:val="32"/>
          <w:lang w:val="en-US" w:eastAsia="zh-CN"/>
        </w:rPr>
        <w:t xml:space="preserve">     澄江市民族宗教事务局</w:t>
      </w:r>
    </w:p>
    <w:p>
      <w:pPr>
        <w:keepNext w:val="0"/>
        <w:keepLines w:val="0"/>
        <w:pageBreakBefore w:val="0"/>
        <w:widowControl w:val="0"/>
        <w:kinsoku/>
        <w:wordWrap/>
        <w:overflowPunct/>
        <w:topLinePunct w:val="0"/>
        <w:autoSpaceDE/>
        <w:autoSpaceDN/>
        <w:bidi w:val="0"/>
        <w:snapToGrid/>
        <w:spacing w:line="590" w:lineRule="exact"/>
        <w:ind w:firstLine="1280" w:firstLineChars="4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napToGrid/>
        <w:spacing w:line="590" w:lineRule="exact"/>
        <w:ind w:firstLine="3200" w:firstLineChars="1000"/>
        <w:textAlignment w:val="auto"/>
        <w:rPr>
          <w:rFonts w:ascii="Times New Roman" w:hAnsi="Times New Roman" w:eastAsia="方正仿宋_GBK"/>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年</w:t>
      </w:r>
      <w:r>
        <w:rPr>
          <w:rFonts w:hint="eastAsia" w:ascii="Times New Roman" w:hAnsi="Times New Roman" w:eastAsia="仿宋_GB2312"/>
          <w:sz w:val="32"/>
          <w:szCs w:val="32"/>
          <w:lang w:val="en-US" w:eastAsia="zh-CN"/>
        </w:rPr>
        <w:t>6</w:t>
      </w:r>
      <w:r>
        <w:rPr>
          <w:rFonts w:ascii="Times New Roman" w:hAnsi="Times New Roman" w:eastAsia="方正仿宋_GBK"/>
          <w:sz w:val="32"/>
          <w:szCs w:val="32"/>
        </w:rPr>
        <w:t>月</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7</w:t>
      </w:r>
      <w:r>
        <w:rPr>
          <w:rFonts w:ascii="Times New Roman" w:hAnsi="Times New Roman" w:eastAsia="方正仿宋_GBK"/>
          <w:sz w:val="32"/>
          <w:szCs w:val="32"/>
        </w:rPr>
        <w:t>日</w:t>
      </w:r>
    </w:p>
    <w:p>
      <w:pPr>
        <w:keepNext w:val="0"/>
        <w:keepLines w:val="0"/>
        <w:widowControl/>
        <w:suppressLineNumbers w:val="0"/>
        <w:jc w:val="left"/>
        <w:textAlignment w:val="center"/>
        <w:rPr>
          <w:rFonts w:hint="default" w:ascii="方正黑体_GBK" w:hAnsi="方正黑体_GBK" w:eastAsia="方正黑体_GBK" w:cs="方正黑体_GBK"/>
          <w:i w:val="0"/>
          <w:color w:val="000000"/>
          <w:kern w:val="0"/>
          <w:sz w:val="24"/>
          <w:szCs w:val="24"/>
          <w:u w:val="none"/>
          <w:lang w:val="en-US" w:eastAsia="zh-CN" w:bidi="ar"/>
        </w:rPr>
      </w:pPr>
      <w:r>
        <w:rPr>
          <w:rFonts w:hint="eastAsia" w:ascii="方正黑体_GBK" w:hAnsi="方正黑体_GBK" w:eastAsia="方正黑体_GBK" w:cs="方正黑体_GBK"/>
          <w:i w:val="0"/>
          <w:color w:val="000000"/>
          <w:kern w:val="0"/>
          <w:sz w:val="24"/>
          <w:szCs w:val="24"/>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90" w:lineRule="exact"/>
        <w:ind w:right="640"/>
        <w:jc w:val="center"/>
        <w:textAlignment w:val="auto"/>
        <w:outlineLvl w:val="9"/>
        <w:rPr>
          <w:rFonts w:hint="default" w:ascii="方正小标宋_GBK" w:hAnsi="方正小标宋_GBK" w:eastAsia="方正小标宋_GBK" w:cs="方正小标宋_GBK"/>
          <w:color w:val="282828"/>
          <w:sz w:val="36"/>
          <w:szCs w:val="36"/>
          <w:lang w:val="en-US" w:eastAsia="zh-CN"/>
        </w:rPr>
      </w:pPr>
      <w:r>
        <w:rPr>
          <w:rFonts w:hint="eastAsia" w:ascii="方正小标宋_GBK" w:hAnsi="方正小标宋_GBK" w:eastAsia="方正小标宋_GBK" w:cs="方正小标宋_GBK"/>
          <w:color w:val="282828"/>
          <w:sz w:val="36"/>
          <w:szCs w:val="36"/>
          <w:lang w:val="en-US" w:eastAsia="zh-CN"/>
        </w:rPr>
        <w:t xml:space="preserve">  </w:t>
      </w:r>
      <w:r>
        <w:rPr>
          <w:rFonts w:hint="default" w:ascii="方正小标宋_GBK" w:hAnsi="方正小标宋_GBK" w:eastAsia="方正小标宋_GBK" w:cs="方正小标宋_GBK"/>
          <w:color w:val="282828"/>
          <w:sz w:val="36"/>
          <w:szCs w:val="36"/>
          <w:lang w:val="en-US" w:eastAsia="zh-CN"/>
        </w:rPr>
        <w:t>澄江市2022年</w:t>
      </w:r>
      <w:r>
        <w:rPr>
          <w:rFonts w:hint="eastAsia" w:ascii="方正小标宋_GBK" w:hAnsi="方正小标宋_GBK" w:eastAsia="方正小标宋_GBK" w:cs="方正小标宋_GBK"/>
          <w:color w:val="282828"/>
          <w:sz w:val="36"/>
          <w:szCs w:val="36"/>
          <w:lang w:val="en-US" w:eastAsia="zh-CN"/>
        </w:rPr>
        <w:t>中央、省级</w:t>
      </w:r>
      <w:r>
        <w:rPr>
          <w:rFonts w:hint="default" w:ascii="方正小标宋_GBK" w:hAnsi="方正小标宋_GBK" w:eastAsia="方正小标宋_GBK" w:cs="方正小标宋_GBK"/>
          <w:color w:val="282828"/>
          <w:sz w:val="36"/>
          <w:szCs w:val="36"/>
          <w:lang w:val="en-US" w:eastAsia="zh-CN"/>
        </w:rPr>
        <w:t>财政衔接推进乡村振兴补助</w:t>
      </w:r>
      <w:r>
        <w:rPr>
          <w:rFonts w:hint="default" w:ascii="方正小标宋_GBK" w:hAnsi="方正小标宋_GBK" w:eastAsia="方正小标宋_GBK" w:cs="方正小标宋_GBK"/>
          <w:color w:val="282828"/>
          <w:sz w:val="36"/>
          <w:szCs w:val="36"/>
          <w:lang w:eastAsia="zh-CN"/>
        </w:rPr>
        <w:t>资金分配</w:t>
      </w:r>
      <w:r>
        <w:rPr>
          <w:rFonts w:hint="default" w:ascii="方正小标宋_GBK" w:hAnsi="方正小标宋_GBK" w:eastAsia="方正小标宋_GBK" w:cs="方正小标宋_GBK"/>
          <w:color w:val="282828"/>
          <w:sz w:val="36"/>
          <w:szCs w:val="36"/>
        </w:rPr>
        <w:t>表</w:t>
      </w:r>
      <w:r>
        <w:rPr>
          <w:rFonts w:hint="eastAsia" w:eastAsia="方正仿宋_GBK" w:cs="Times New Roman"/>
          <w:sz w:val="32"/>
          <w:szCs w:val="32"/>
          <w:lang w:val="en-US" w:eastAsia="zh-CN"/>
        </w:rPr>
        <w:t xml:space="preserve">    </w:t>
      </w:r>
      <w:r>
        <w:rPr>
          <w:rFonts w:hint="eastAsia" w:ascii="宋体" w:hAnsi="宋体" w:eastAsia="宋体" w:cs="宋体"/>
          <w:color w:val="282828"/>
          <w:sz w:val="52"/>
          <w:szCs w:val="52"/>
          <w:vertAlign w:val="subscript"/>
          <w:lang w:val="en-US" w:eastAsia="zh-CN"/>
        </w:rPr>
        <w:t>单位：万元</w:t>
      </w:r>
    </w:p>
    <w:tbl>
      <w:tblPr>
        <w:tblStyle w:val="5"/>
        <w:tblW w:w="12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4"/>
        <w:gridCol w:w="1422"/>
        <w:gridCol w:w="3523"/>
        <w:gridCol w:w="1039"/>
        <w:gridCol w:w="1039"/>
        <w:gridCol w:w="1135"/>
        <w:gridCol w:w="1087"/>
        <w:gridCol w:w="1195"/>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52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4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街、镇</w:t>
            </w:r>
          </w:p>
        </w:tc>
        <w:tc>
          <w:tcPr>
            <w:tcW w:w="35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213" w:type="dxa"/>
            <w:gridSpan w:val="3"/>
            <w:tcBorders>
              <w:top w:val="single" w:color="auto" w:sz="4" w:space="0"/>
              <w:left w:val="nil"/>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资金分配情况（万元）</w:t>
            </w:r>
          </w:p>
        </w:tc>
        <w:tc>
          <w:tcPr>
            <w:tcW w:w="10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功能分类科目</w:t>
            </w:r>
          </w:p>
        </w:tc>
        <w:tc>
          <w:tcPr>
            <w:tcW w:w="11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政府预算分类科目</w:t>
            </w:r>
          </w:p>
        </w:tc>
        <w:tc>
          <w:tcPr>
            <w:tcW w:w="19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批复文件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52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22"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52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3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合</w:t>
            </w:r>
            <w:r>
              <w:rPr>
                <w:rFonts w:hint="eastAsia" w:ascii="宋体" w:hAnsi="宋体" w:eastAsia="宋体" w:cs="宋体"/>
                <w:b/>
                <w:i w:val="0"/>
                <w:color w:val="000000"/>
                <w:kern w:val="0"/>
                <w:sz w:val="24"/>
                <w:szCs w:val="24"/>
                <w:u w:val="none"/>
                <w:lang w:val="en-US" w:eastAsia="zh-CN" w:bidi="ar"/>
              </w:rPr>
              <w:t>计</w:t>
            </w:r>
          </w:p>
        </w:tc>
        <w:tc>
          <w:tcPr>
            <w:tcW w:w="103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中央</w:t>
            </w:r>
          </w:p>
        </w:tc>
        <w:tc>
          <w:tcPr>
            <w:tcW w:w="1135"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省级</w:t>
            </w:r>
          </w:p>
        </w:tc>
        <w:tc>
          <w:tcPr>
            <w:tcW w:w="1087"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9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62"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0" w:hRule="atLeast"/>
        </w:trPr>
        <w:tc>
          <w:tcPr>
            <w:tcW w:w="5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4"/>
                <w:szCs w:val="24"/>
                <w:u w:val="none"/>
                <w:lang w:val="en-US" w:eastAsia="zh-CN" w:bidi="ar"/>
              </w:rPr>
              <w:t>1</w:t>
            </w:r>
          </w:p>
        </w:tc>
        <w:tc>
          <w:tcPr>
            <w:tcW w:w="14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路居镇</w:t>
            </w:r>
          </w:p>
        </w:tc>
        <w:tc>
          <w:tcPr>
            <w:tcW w:w="35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澄江市路居镇下坝社区东西海边村财政衔接推进乡村振兴—民族特色村寨建设项目</w:t>
            </w:r>
          </w:p>
        </w:tc>
        <w:tc>
          <w:tcPr>
            <w:tcW w:w="10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b/>
                <w:bCs/>
                <w:i w:val="0"/>
                <w:color w:val="000000"/>
                <w:kern w:val="0"/>
                <w:sz w:val="24"/>
                <w:szCs w:val="24"/>
                <w:u w:val="none"/>
                <w:lang w:val="en-US" w:eastAsia="zh-CN" w:bidi="ar"/>
              </w:rPr>
              <w:t>162</w:t>
            </w:r>
          </w:p>
        </w:tc>
        <w:tc>
          <w:tcPr>
            <w:tcW w:w="10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50</w:t>
            </w:r>
          </w:p>
        </w:tc>
        <w:tc>
          <w:tcPr>
            <w:tcW w:w="113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宋体" w:hAnsi="宋体" w:eastAsia="宋体" w:cs="宋体"/>
                <w:b/>
                <w:i w:val="0"/>
                <w:color w:val="000000"/>
                <w:sz w:val="24"/>
                <w:szCs w:val="24"/>
                <w:u w:val="none"/>
                <w:lang w:val="en-US" w:eastAsia="zh-CN"/>
              </w:rPr>
            </w:pPr>
            <w:r>
              <w:rPr>
                <w:rFonts w:hint="eastAsia" w:ascii="宋体" w:hAnsi="宋体" w:cs="宋体"/>
                <w:b w:val="0"/>
                <w:bCs/>
                <w:i w:val="0"/>
                <w:color w:val="000000"/>
                <w:sz w:val="24"/>
                <w:szCs w:val="24"/>
                <w:u w:val="none"/>
                <w:lang w:val="en-US" w:eastAsia="zh-CN"/>
              </w:rPr>
              <w:t>112</w:t>
            </w:r>
          </w:p>
        </w:tc>
        <w:tc>
          <w:tcPr>
            <w:tcW w:w="108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2130504农村基础设施建设</w:t>
            </w:r>
          </w:p>
        </w:tc>
        <w:tc>
          <w:tcPr>
            <w:tcW w:w="11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50402基础设施建设</w:t>
            </w:r>
          </w:p>
        </w:tc>
        <w:tc>
          <w:tcPr>
            <w:tcW w:w="196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澄政复〔2022〕8</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号</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keepNext w:val="0"/>
        <w:keepLines w:val="0"/>
        <w:widowControl/>
        <w:suppressLineNumbers w:val="0"/>
        <w:jc w:val="left"/>
        <w:textAlignment w:val="center"/>
        <w:rPr>
          <w:rFonts w:hint="eastAsia" w:ascii="方正黑体_GBK" w:hAnsi="方正黑体_GBK" w:eastAsia="方正黑体_GBK" w:cs="方正黑体_GBK"/>
          <w:spacing w:val="-20"/>
          <w:sz w:val="32"/>
          <w:szCs w:val="32"/>
        </w:rPr>
      </w:pPr>
      <w:r>
        <w:rPr>
          <w:rFonts w:hint="eastAsia" w:ascii="方正黑体_GBK" w:hAnsi="方正黑体_GBK" w:eastAsia="方正黑体_GBK" w:cs="方正黑体_GBK"/>
          <w:i w:val="0"/>
          <w:color w:val="000000"/>
          <w:kern w:val="0"/>
          <w:sz w:val="24"/>
          <w:szCs w:val="24"/>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90" w:lineRule="exact"/>
        <w:ind w:right="640"/>
        <w:jc w:val="center"/>
        <w:textAlignment w:val="auto"/>
        <w:outlineLvl w:val="9"/>
        <w:rPr>
          <w:rFonts w:hint="eastAsia" w:ascii="方正小标宋_GBK" w:hAnsi="方正小标宋_GBK" w:eastAsia="方正小标宋_GBK" w:cs="方正小标宋_GBK"/>
          <w:color w:val="282828"/>
          <w:sz w:val="36"/>
          <w:szCs w:val="36"/>
          <w:lang w:val="en-US" w:eastAsia="zh-CN"/>
        </w:rPr>
      </w:pPr>
      <w:r>
        <w:rPr>
          <w:rFonts w:hint="default" w:ascii="方正小标宋_GBK" w:hAnsi="方正小标宋_GBK" w:eastAsia="方正小标宋_GBK" w:cs="方正小标宋_GBK"/>
          <w:color w:val="282828"/>
          <w:sz w:val="36"/>
          <w:szCs w:val="36"/>
          <w:lang w:val="en-US" w:eastAsia="zh-CN"/>
        </w:rPr>
        <w:t>澄江市2022年</w:t>
      </w:r>
      <w:r>
        <w:rPr>
          <w:rFonts w:hint="eastAsia" w:ascii="方正小标宋_GBK" w:hAnsi="方正小标宋_GBK" w:eastAsia="方正小标宋_GBK" w:cs="方正小标宋_GBK"/>
          <w:color w:val="282828"/>
          <w:sz w:val="36"/>
          <w:szCs w:val="36"/>
          <w:lang w:val="en-US" w:eastAsia="zh-CN"/>
        </w:rPr>
        <w:t>中央、</w:t>
      </w:r>
      <w:r>
        <w:rPr>
          <w:rFonts w:hint="default" w:ascii="方正小标宋_GBK" w:hAnsi="方正小标宋_GBK" w:eastAsia="方正小标宋_GBK" w:cs="方正小标宋_GBK"/>
          <w:color w:val="282828"/>
          <w:sz w:val="36"/>
          <w:szCs w:val="36"/>
          <w:lang w:val="en-US" w:eastAsia="zh-CN"/>
        </w:rPr>
        <w:t>省级财政衔接推进乡村振兴补助资金农村基础设施建设项目绩效目标表</w:t>
      </w:r>
    </w:p>
    <w:p>
      <w:pPr>
        <w:jc w:val="center"/>
        <w:rPr>
          <w:rFonts w:hint="eastAsia" w:eastAsia="方正小标宋_GBK"/>
          <w:spacing w:val="-20"/>
          <w:sz w:val="40"/>
          <w:szCs w:val="40"/>
        </w:rPr>
      </w:pPr>
    </w:p>
    <w:tbl>
      <w:tblPr>
        <w:tblStyle w:val="5"/>
        <w:tblW w:w="9060" w:type="dxa"/>
        <w:tblInd w:w="0" w:type="dxa"/>
        <w:tblLayout w:type="fixed"/>
        <w:tblCellMar>
          <w:top w:w="15" w:type="dxa"/>
          <w:left w:w="15" w:type="dxa"/>
          <w:bottom w:w="15" w:type="dxa"/>
          <w:right w:w="15" w:type="dxa"/>
        </w:tblCellMar>
      </w:tblPr>
      <w:tblGrid>
        <w:gridCol w:w="1002"/>
        <w:gridCol w:w="1002"/>
        <w:gridCol w:w="1626"/>
        <w:gridCol w:w="1841"/>
        <w:gridCol w:w="1404"/>
        <w:gridCol w:w="2185"/>
      </w:tblGrid>
      <w:tr>
        <w:tblPrEx>
          <w:tblLayout w:type="fixed"/>
          <w:tblCellMar>
            <w:top w:w="15" w:type="dxa"/>
            <w:left w:w="15" w:type="dxa"/>
            <w:bottom w:w="15" w:type="dxa"/>
            <w:right w:w="15" w:type="dxa"/>
          </w:tblCellMar>
        </w:tblPrEx>
        <w:trPr>
          <w:trHeight w:val="1031"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专项名称</w:t>
            </w:r>
          </w:p>
        </w:tc>
        <w:tc>
          <w:tcPr>
            <w:tcW w:w="705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default" w:ascii="宋体" w:hAnsi="宋体" w:cs="宋体"/>
                <w:color w:val="000000"/>
                <w:sz w:val="20"/>
                <w:szCs w:val="20"/>
                <w:lang w:val="en-US" w:eastAsia="zh-CN"/>
              </w:rPr>
              <w:t>澄江市2022年</w:t>
            </w:r>
            <w:r>
              <w:rPr>
                <w:rFonts w:hint="eastAsia" w:ascii="宋体" w:hAnsi="宋体" w:cs="宋体"/>
                <w:color w:val="000000"/>
                <w:sz w:val="20"/>
                <w:szCs w:val="20"/>
                <w:lang w:val="en-US" w:eastAsia="zh-CN"/>
              </w:rPr>
              <w:t>中央、</w:t>
            </w:r>
            <w:r>
              <w:rPr>
                <w:rFonts w:hint="default" w:ascii="宋体" w:hAnsi="宋体" w:cs="宋体"/>
                <w:color w:val="000000"/>
                <w:sz w:val="20"/>
                <w:szCs w:val="20"/>
                <w:lang w:val="en-US" w:eastAsia="zh-CN"/>
              </w:rPr>
              <w:t>省级财政衔接推进乡村振兴补助资金农村基础设施建设项目</w:t>
            </w:r>
          </w:p>
        </w:tc>
      </w:tr>
      <w:tr>
        <w:tblPrEx>
          <w:tblLayout w:type="fixed"/>
          <w:tblCellMar>
            <w:top w:w="15" w:type="dxa"/>
            <w:left w:w="15" w:type="dxa"/>
            <w:bottom w:w="15" w:type="dxa"/>
            <w:right w:w="15" w:type="dxa"/>
          </w:tblCellMar>
        </w:tblPrEx>
        <w:trPr>
          <w:trHeight w:val="864"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市级财政部门</w:t>
            </w:r>
          </w:p>
        </w:tc>
        <w:tc>
          <w:tcPr>
            <w:tcW w:w="34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玉溪市财政局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市级主管部门</w:t>
            </w:r>
          </w:p>
        </w:tc>
        <w:tc>
          <w:tcPr>
            <w:tcW w:w="21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玉溪市民族宗教事务局</w:t>
            </w:r>
          </w:p>
        </w:tc>
      </w:tr>
      <w:tr>
        <w:tblPrEx>
          <w:tblLayout w:type="fixed"/>
          <w:tblCellMar>
            <w:top w:w="15" w:type="dxa"/>
            <w:left w:w="15" w:type="dxa"/>
            <w:bottom w:w="15" w:type="dxa"/>
            <w:right w:w="15" w:type="dxa"/>
          </w:tblCellMar>
        </w:tblPrEx>
        <w:trPr>
          <w:trHeight w:val="864" w:hRule="atLeast"/>
        </w:trPr>
        <w:tc>
          <w:tcPr>
            <w:tcW w:w="200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级财政部门</w:t>
            </w:r>
          </w:p>
        </w:tc>
        <w:tc>
          <w:tcPr>
            <w:tcW w:w="34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cs="宋体"/>
                <w:i w:val="0"/>
                <w:color w:val="000000"/>
                <w:kern w:val="0"/>
                <w:sz w:val="20"/>
                <w:szCs w:val="20"/>
                <w:u w:val="none"/>
                <w:lang w:val="en-US" w:eastAsia="zh-CN" w:bidi="ar"/>
              </w:rPr>
              <w:t>澄江</w:t>
            </w:r>
            <w:r>
              <w:rPr>
                <w:rFonts w:hint="eastAsia" w:ascii="宋体" w:hAnsi="宋体" w:eastAsia="宋体" w:cs="宋体"/>
                <w:i w:val="0"/>
                <w:color w:val="000000"/>
                <w:kern w:val="0"/>
                <w:sz w:val="20"/>
                <w:szCs w:val="20"/>
                <w:u w:val="none"/>
                <w:lang w:val="en-US" w:eastAsia="zh-CN" w:bidi="ar"/>
              </w:rPr>
              <w:t>市财政局</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cs="宋体"/>
                <w:i w:val="0"/>
                <w:color w:val="000000"/>
                <w:kern w:val="0"/>
                <w:sz w:val="20"/>
                <w:szCs w:val="20"/>
                <w:u w:val="none"/>
                <w:lang w:val="en-US" w:eastAsia="zh-CN" w:bidi="ar"/>
              </w:rPr>
              <w:t>县</w:t>
            </w:r>
            <w:r>
              <w:rPr>
                <w:rFonts w:hint="eastAsia" w:ascii="宋体" w:hAnsi="宋体" w:eastAsia="宋体" w:cs="宋体"/>
                <w:i w:val="0"/>
                <w:color w:val="000000"/>
                <w:kern w:val="0"/>
                <w:sz w:val="20"/>
                <w:szCs w:val="20"/>
                <w:u w:val="none"/>
                <w:lang w:val="en-US" w:eastAsia="zh-CN" w:bidi="ar"/>
              </w:rPr>
              <w:t>级主管部门</w:t>
            </w:r>
          </w:p>
        </w:tc>
        <w:tc>
          <w:tcPr>
            <w:tcW w:w="21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20"/>
                <w:szCs w:val="20"/>
                <w:lang w:val="en-US" w:eastAsia="zh-CN"/>
              </w:rPr>
            </w:pPr>
            <w:r>
              <w:rPr>
                <w:rFonts w:hint="eastAsia" w:ascii="宋体" w:hAnsi="宋体" w:cs="宋体"/>
                <w:i w:val="0"/>
                <w:color w:val="000000"/>
                <w:kern w:val="0"/>
                <w:sz w:val="21"/>
                <w:szCs w:val="21"/>
                <w:u w:val="none"/>
                <w:lang w:val="en-US" w:eastAsia="zh-CN" w:bidi="ar"/>
              </w:rPr>
              <w:t>澄江市民族宗教事务局</w:t>
            </w:r>
          </w:p>
        </w:tc>
      </w:tr>
      <w:tr>
        <w:tblPrEx>
          <w:tblLayout w:type="fixed"/>
          <w:tblCellMar>
            <w:top w:w="15" w:type="dxa"/>
            <w:left w:w="15" w:type="dxa"/>
            <w:bottom w:w="15" w:type="dxa"/>
            <w:right w:w="15" w:type="dxa"/>
          </w:tblCellMar>
        </w:tblPrEx>
        <w:trPr>
          <w:trHeight w:val="161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年度总体目标</w:t>
            </w:r>
          </w:p>
        </w:tc>
        <w:tc>
          <w:tcPr>
            <w:tcW w:w="80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00" w:firstLineChars="200"/>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完成</w:t>
            </w:r>
            <w:r>
              <w:rPr>
                <w:rFonts w:hint="default" w:ascii="宋体" w:hAnsi="宋体" w:cs="宋体"/>
                <w:color w:val="000000"/>
                <w:sz w:val="20"/>
                <w:szCs w:val="20"/>
                <w:lang w:val="en-US" w:eastAsia="zh-CN"/>
              </w:rPr>
              <w:t>澄江市2022年</w:t>
            </w:r>
            <w:r>
              <w:rPr>
                <w:rFonts w:hint="eastAsia" w:ascii="宋体" w:hAnsi="宋体" w:cs="宋体"/>
                <w:color w:val="000000"/>
                <w:sz w:val="20"/>
                <w:szCs w:val="20"/>
                <w:lang w:val="en-US" w:eastAsia="zh-CN"/>
              </w:rPr>
              <w:t>中央、</w:t>
            </w:r>
            <w:r>
              <w:rPr>
                <w:rFonts w:hint="default" w:ascii="宋体" w:hAnsi="宋体" w:cs="宋体"/>
                <w:color w:val="000000"/>
                <w:sz w:val="20"/>
                <w:szCs w:val="20"/>
                <w:lang w:val="en-US" w:eastAsia="zh-CN"/>
              </w:rPr>
              <w:t>省级财政衔接推进乡村振兴补助资金农村基础设施建设项目</w:t>
            </w:r>
            <w:r>
              <w:rPr>
                <w:rFonts w:hint="eastAsia" w:ascii="宋体" w:hAnsi="宋体" w:cs="宋体"/>
                <w:color w:val="000000"/>
                <w:sz w:val="20"/>
                <w:szCs w:val="20"/>
                <w:lang w:val="en-US" w:eastAsia="zh-CN"/>
              </w:rPr>
              <w:t>1个，进一步改善项目点群众的生活条件，巩固提升脱贫人口的脱贫质量，防止返贫情况的发生。</w:t>
            </w:r>
          </w:p>
        </w:tc>
      </w:tr>
      <w:tr>
        <w:tblPrEx>
          <w:tblLayout w:type="fixed"/>
          <w:tblCellMar>
            <w:top w:w="15" w:type="dxa"/>
            <w:left w:w="15" w:type="dxa"/>
            <w:bottom w:w="15" w:type="dxa"/>
            <w:right w:w="15" w:type="dxa"/>
          </w:tblCellMar>
        </w:tblPrEx>
        <w:trPr>
          <w:trHeight w:val="721" w:hRule="atLeast"/>
        </w:trPr>
        <w:tc>
          <w:tcPr>
            <w:tcW w:w="100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一级指标</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二级指标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三级指标</w:t>
            </w:r>
          </w:p>
        </w:tc>
        <w:tc>
          <w:tcPr>
            <w:tcW w:w="35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指标值</w:t>
            </w:r>
          </w:p>
        </w:tc>
      </w:tr>
      <w:tr>
        <w:tblPrEx>
          <w:tblLayout w:type="fixed"/>
          <w:tblCellMar>
            <w:top w:w="15" w:type="dxa"/>
            <w:left w:w="15" w:type="dxa"/>
            <w:bottom w:w="15" w:type="dxa"/>
            <w:right w:w="15" w:type="dxa"/>
          </w:tblCellMar>
        </w:tblPrEx>
        <w:trPr>
          <w:trHeight w:val="740" w:hRule="atLeast"/>
        </w:trPr>
        <w:tc>
          <w:tcPr>
            <w:tcW w:w="100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0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产出指标</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数量指标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eastAsia="zh-CN"/>
              </w:rPr>
              <w:t>完成</w:t>
            </w:r>
            <w:r>
              <w:rPr>
                <w:rFonts w:hint="eastAsia" w:ascii="宋体" w:hAnsi="宋体" w:cs="宋体"/>
                <w:color w:val="000000"/>
                <w:sz w:val="20"/>
                <w:szCs w:val="20"/>
                <w:lang w:val="en-US" w:eastAsia="zh-CN"/>
              </w:rPr>
              <w:t>项目建设个数（个）</w:t>
            </w:r>
          </w:p>
        </w:tc>
        <w:tc>
          <w:tcPr>
            <w:tcW w:w="35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auto"/>
                <w:sz w:val="20"/>
                <w:szCs w:val="20"/>
                <w:lang w:val="en-US" w:eastAsia="zh-CN"/>
              </w:rPr>
              <w:t>1</w:t>
            </w:r>
          </w:p>
        </w:tc>
      </w:tr>
      <w:tr>
        <w:tblPrEx>
          <w:tblLayout w:type="fixed"/>
          <w:tblCellMar>
            <w:top w:w="15" w:type="dxa"/>
            <w:left w:w="15" w:type="dxa"/>
            <w:bottom w:w="15" w:type="dxa"/>
            <w:right w:w="15" w:type="dxa"/>
          </w:tblCellMar>
        </w:tblPrEx>
        <w:trPr>
          <w:trHeight w:val="491" w:hRule="atLeast"/>
        </w:trPr>
        <w:tc>
          <w:tcPr>
            <w:tcW w:w="100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0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成本指标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财政资金投入（万元）</w:t>
            </w:r>
          </w:p>
        </w:tc>
        <w:tc>
          <w:tcPr>
            <w:tcW w:w="35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162</w:t>
            </w:r>
          </w:p>
        </w:tc>
      </w:tr>
      <w:tr>
        <w:tblPrEx>
          <w:tblLayout w:type="fixed"/>
          <w:tblCellMar>
            <w:top w:w="15" w:type="dxa"/>
            <w:left w:w="15" w:type="dxa"/>
            <w:bottom w:w="15" w:type="dxa"/>
            <w:right w:w="15" w:type="dxa"/>
          </w:tblCellMar>
        </w:tblPrEx>
        <w:trPr>
          <w:trHeight w:val="581" w:hRule="atLeast"/>
        </w:trPr>
        <w:tc>
          <w:tcPr>
            <w:tcW w:w="100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0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时效指标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工程按时完工率（</w:t>
            </w:r>
            <w:r>
              <w:rPr>
                <w:rFonts w:hint="eastAsia" w:ascii="宋体" w:hAnsi="宋体" w:cs="宋体"/>
                <w:color w:val="000000"/>
                <w:sz w:val="20"/>
                <w:szCs w:val="20"/>
                <w:lang w:val="en-US" w:eastAsia="zh-CN"/>
              </w:rPr>
              <w:t>%</w:t>
            </w:r>
            <w:r>
              <w:rPr>
                <w:rFonts w:hint="eastAsia" w:ascii="宋体" w:hAnsi="宋体" w:cs="宋体"/>
                <w:color w:val="000000"/>
                <w:sz w:val="20"/>
                <w:szCs w:val="20"/>
                <w:lang w:eastAsia="zh-CN"/>
              </w:rPr>
              <w:t>）</w:t>
            </w:r>
          </w:p>
        </w:tc>
        <w:tc>
          <w:tcPr>
            <w:tcW w:w="35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r>
      <w:tr>
        <w:tblPrEx>
          <w:tblLayout w:type="fixed"/>
          <w:tblCellMar>
            <w:top w:w="15" w:type="dxa"/>
            <w:left w:w="15" w:type="dxa"/>
            <w:bottom w:w="15" w:type="dxa"/>
            <w:right w:w="15" w:type="dxa"/>
          </w:tblCellMar>
        </w:tblPrEx>
        <w:trPr>
          <w:trHeight w:val="491" w:hRule="atLeast"/>
        </w:trPr>
        <w:tc>
          <w:tcPr>
            <w:tcW w:w="100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0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质量指标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eastAsia="zh-CN"/>
              </w:rPr>
              <w:t>工程质量合格率（</w:t>
            </w:r>
            <w:r>
              <w:rPr>
                <w:rFonts w:hint="eastAsia" w:ascii="宋体" w:hAnsi="宋体" w:cs="宋体"/>
                <w:color w:val="000000"/>
                <w:sz w:val="20"/>
                <w:szCs w:val="20"/>
                <w:lang w:val="en-US" w:eastAsia="zh-CN"/>
              </w:rPr>
              <w:t>%</w:t>
            </w:r>
            <w:r>
              <w:rPr>
                <w:rFonts w:hint="eastAsia" w:ascii="宋体" w:hAnsi="宋体" w:cs="宋体"/>
                <w:color w:val="000000"/>
                <w:sz w:val="20"/>
                <w:szCs w:val="20"/>
                <w:lang w:eastAsia="zh-CN"/>
              </w:rPr>
              <w:t>）</w:t>
            </w:r>
          </w:p>
        </w:tc>
        <w:tc>
          <w:tcPr>
            <w:tcW w:w="35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100</w:t>
            </w:r>
          </w:p>
        </w:tc>
      </w:tr>
      <w:tr>
        <w:tblPrEx>
          <w:tblLayout w:type="fixed"/>
          <w:tblCellMar>
            <w:top w:w="15" w:type="dxa"/>
            <w:left w:w="15" w:type="dxa"/>
            <w:bottom w:w="15" w:type="dxa"/>
            <w:right w:w="15" w:type="dxa"/>
          </w:tblCellMar>
        </w:tblPrEx>
        <w:trPr>
          <w:trHeight w:val="780" w:hRule="atLeast"/>
        </w:trPr>
        <w:tc>
          <w:tcPr>
            <w:tcW w:w="100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效益指标</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社会效益指标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助力乡村振兴</w:t>
            </w:r>
          </w:p>
        </w:tc>
        <w:tc>
          <w:tcPr>
            <w:tcW w:w="35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0"/>
                <w:szCs w:val="20"/>
                <w:lang w:val="en-US" w:eastAsia="zh-CN"/>
              </w:rPr>
            </w:pPr>
            <w:r>
              <w:rPr>
                <w:rFonts w:hint="eastAsia" w:ascii="宋体" w:hAnsi="宋体" w:cs="宋体"/>
                <w:i w:val="0"/>
                <w:color w:val="auto"/>
                <w:kern w:val="0"/>
                <w:sz w:val="20"/>
                <w:szCs w:val="20"/>
                <w:u w:val="none"/>
                <w:lang w:val="en-US" w:eastAsia="zh-CN" w:bidi="ar"/>
              </w:rPr>
              <w:t>周边群众产业结构高于原先水平</w:t>
            </w:r>
          </w:p>
        </w:tc>
      </w:tr>
      <w:tr>
        <w:tblPrEx>
          <w:tblLayout w:type="fixed"/>
          <w:tblCellMar>
            <w:top w:w="15" w:type="dxa"/>
            <w:left w:w="15" w:type="dxa"/>
            <w:bottom w:w="15" w:type="dxa"/>
            <w:right w:w="15" w:type="dxa"/>
          </w:tblCellMar>
        </w:tblPrEx>
        <w:trPr>
          <w:trHeight w:val="835" w:hRule="atLeast"/>
        </w:trPr>
        <w:tc>
          <w:tcPr>
            <w:tcW w:w="1002"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cs="宋体"/>
                <w:color w:val="000000"/>
                <w:sz w:val="20"/>
                <w:szCs w:val="20"/>
                <w:lang w:val="en-US"/>
              </w:rPr>
            </w:pPr>
            <w:r>
              <w:rPr>
                <w:rFonts w:hint="eastAsia" w:ascii="宋体" w:hAnsi="宋体" w:cs="宋体"/>
                <w:i w:val="0"/>
                <w:color w:val="000000"/>
                <w:kern w:val="0"/>
                <w:sz w:val="20"/>
                <w:szCs w:val="20"/>
                <w:u w:val="none"/>
                <w:lang w:val="en-US" w:eastAsia="zh-CN" w:bidi="ar"/>
              </w:rPr>
              <w:t>可持续影响指标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项目受益年限（年）</w:t>
            </w:r>
          </w:p>
        </w:tc>
        <w:tc>
          <w:tcPr>
            <w:tcW w:w="35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10</w:t>
            </w:r>
          </w:p>
        </w:tc>
      </w:tr>
      <w:tr>
        <w:tblPrEx>
          <w:tblLayout w:type="fixed"/>
          <w:tblCellMar>
            <w:top w:w="15" w:type="dxa"/>
            <w:left w:w="15" w:type="dxa"/>
            <w:bottom w:w="15" w:type="dxa"/>
            <w:right w:w="15" w:type="dxa"/>
          </w:tblCellMar>
        </w:tblPrEx>
        <w:trPr>
          <w:trHeight w:val="1039" w:hRule="atLeast"/>
        </w:trPr>
        <w:tc>
          <w:tcPr>
            <w:tcW w:w="100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20"/>
                <w:szCs w:val="20"/>
              </w:rPr>
            </w:pPr>
          </w:p>
        </w:tc>
        <w:tc>
          <w:tcPr>
            <w:tcW w:w="10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满意度指标</w:t>
            </w: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s="宋体"/>
                <w:color w:val="000000"/>
                <w:sz w:val="20"/>
                <w:szCs w:val="20"/>
              </w:rPr>
            </w:pPr>
            <w:r>
              <w:rPr>
                <w:rFonts w:hint="eastAsia" w:ascii="宋体" w:hAnsi="宋体" w:eastAsia="宋体" w:cs="宋体"/>
                <w:i w:val="0"/>
                <w:color w:val="000000"/>
                <w:kern w:val="0"/>
                <w:sz w:val="20"/>
                <w:szCs w:val="20"/>
                <w:u w:val="none"/>
                <w:lang w:val="en-US" w:eastAsia="zh-CN" w:bidi="ar"/>
              </w:rPr>
              <w:t>服务对象满意度指标</w:t>
            </w:r>
          </w:p>
        </w:tc>
        <w:tc>
          <w:tcPr>
            <w:tcW w:w="1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color w:val="000000"/>
                <w:sz w:val="20"/>
                <w:szCs w:val="20"/>
                <w:lang w:eastAsia="zh-CN"/>
              </w:rPr>
            </w:pPr>
            <w:r>
              <w:rPr>
                <w:rFonts w:hint="eastAsia" w:ascii="宋体" w:hAnsi="宋体" w:cs="宋体"/>
                <w:color w:val="000000"/>
                <w:sz w:val="20"/>
                <w:szCs w:val="20"/>
                <w:lang w:val="en-US" w:eastAsia="zh-CN"/>
              </w:rPr>
              <w:t>已脱贫</w:t>
            </w:r>
            <w:r>
              <w:rPr>
                <w:rFonts w:hint="eastAsia" w:ascii="宋体" w:hAnsi="宋体" w:cs="宋体"/>
                <w:color w:val="000000"/>
                <w:sz w:val="20"/>
                <w:szCs w:val="20"/>
                <w:lang w:eastAsia="zh-CN"/>
              </w:rPr>
              <w:t>贫困人口满意率（</w:t>
            </w:r>
            <w:r>
              <w:rPr>
                <w:rFonts w:hint="eastAsia" w:ascii="宋体" w:hAnsi="宋体" w:cs="宋体"/>
                <w:i w:val="0"/>
                <w:color w:val="000000"/>
                <w:sz w:val="21"/>
                <w:szCs w:val="21"/>
                <w:u w:val="none"/>
                <w:lang w:eastAsia="zh-CN"/>
              </w:rPr>
              <w:t>≥**%</w:t>
            </w:r>
            <w:r>
              <w:rPr>
                <w:rFonts w:hint="eastAsia" w:ascii="宋体" w:hAnsi="宋体" w:cs="宋体"/>
                <w:color w:val="000000"/>
                <w:sz w:val="20"/>
                <w:szCs w:val="20"/>
                <w:lang w:eastAsia="zh-CN"/>
              </w:rPr>
              <w:t>）</w:t>
            </w:r>
          </w:p>
        </w:tc>
        <w:tc>
          <w:tcPr>
            <w:tcW w:w="35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96</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5408;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pPr>
        <w:spacing w:line="520" w:lineRule="exact"/>
        <w:ind w:firstLine="280" w:firstLineChars="100"/>
        <w:rPr>
          <w:rFonts w:ascii="Times New Roman" w:hAnsi="Times New Roman" w:eastAsia="方正仿宋_GBK"/>
          <w:w w:val="90"/>
        </w:rPr>
      </w:pP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358140</wp:posOffset>
                </wp:positionV>
                <wp:extent cx="566801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0288;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22860</wp:posOffset>
                </wp:positionV>
                <wp:extent cx="566801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59264;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澄江</w:t>
      </w:r>
      <w:r>
        <w:rPr>
          <w:rFonts w:ascii="Times New Roman" w:hAnsi="Times New Roman" w:eastAsia="方正仿宋_GBK"/>
          <w:sz w:val="28"/>
          <w:szCs w:val="28"/>
        </w:rPr>
        <w:t xml:space="preserve">市财政局办公室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2</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6</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27</w:t>
      </w:r>
      <w:r>
        <w:rPr>
          <w:rFonts w:ascii="Times New Roman" w:hAnsi="Times New Roman" w:eastAsia="方正仿宋_GBK"/>
          <w:sz w:val="28"/>
          <w:szCs w:val="28"/>
        </w:rPr>
        <w:t>日印发</w:t>
      </w:r>
    </w:p>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61216"/>
    <w:rsid w:val="7916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Autospacing="0"/>
    </w:pPr>
    <w:rPr>
      <w:rFonts w:ascii="Times New Roman" w:hAnsi="Times New Roman"/>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rFonts w:asciiTheme="minorHAnsi" w:hAnsiTheme="minorHAnsi" w:eastAsiaTheme="minorEastAsia" w:cstheme="minorBidi"/>
      <w:sz w:val="18"/>
      <w:szCs w:val="18"/>
    </w:rPr>
  </w:style>
  <w:style w:type="character" w:customStyle="1" w:styleId="9">
    <w:name w:val="页脚 Char"/>
    <w:basedOn w:val="7"/>
    <w:link w:val="3"/>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3</Pages>
  <Words>53</Words>
  <Characters>305</Characters>
  <Lines>2</Lines>
  <Paragraphs>1</Paragraphs>
  <TotalTime>8</TotalTime>
  <ScaleCrop>false</ScaleCrop>
  <LinksUpToDate>false</LinksUpToDate>
  <CharactersWithSpaces>357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2018-09-06T01:32:00Z</dcterms:created>
  <dc:creator>市财政局</dc:creator>
  <cp:lastModifiedBy>Dell</cp:lastModifiedBy>
  <dcterms:modified xsi:type="dcterms:W3CDTF">2022-12-08T07:32:43Z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9D5D8254229340CD8F32B96ACE2673F4</vt:lpwstr>
  </property>
</Properties>
</file>