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监督索引号53042200532602101000</w:t>
      </w:r>
    </w:p>
    <w:p>
      <w:pPr>
        <w:keepNext w:val="0"/>
        <w:keepLines w:val="0"/>
        <w:widowControl/>
        <w:suppressLineNumbers w:val="0"/>
        <w:topLinePunct/>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澄江市植保植检站2021年度部门决算</w:t>
      </w:r>
    </w:p>
    <w:p>
      <w:pPr>
        <w:keepNext w:val="0"/>
        <w:keepLines w:val="0"/>
        <w:widowControl/>
        <w:suppressLineNumbers w:val="0"/>
        <w:topLinePunct/>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 xml:space="preserve"> </w:t>
      </w:r>
    </w:p>
    <w:p>
      <w:pPr>
        <w:keepNext w:val="0"/>
        <w:keepLines w:val="0"/>
        <w:widowControl/>
        <w:suppressLineNumbers w:val="0"/>
        <w:topLinePunct/>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目录</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黑体" w:hAnsi="宋体" w:eastAsia="黑体" w:cs="黑体"/>
          <w:kern w:val="0"/>
          <w:sz w:val="32"/>
          <w:szCs w:val="32"/>
        </w:rPr>
      </w:pPr>
      <w:r>
        <w:rPr>
          <w:rFonts w:hint="eastAsia" w:ascii="黑体" w:hAnsi="宋体" w:eastAsia="黑体" w:cs="黑体"/>
          <w:kern w:val="0"/>
          <w:sz w:val="32"/>
          <w:szCs w:val="32"/>
        </w:rPr>
        <w:t>第一部分  澄江市植保植检站概况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一、主要职能</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二、部门基本情况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黑体" w:hAnsi="宋体" w:eastAsia="黑体" w:cs="黑体"/>
          <w:kern w:val="0"/>
          <w:sz w:val="32"/>
          <w:szCs w:val="32"/>
        </w:rPr>
      </w:pPr>
      <w:r>
        <w:rPr>
          <w:rFonts w:hint="eastAsia" w:ascii="黑体" w:hAnsi="宋体" w:eastAsia="黑体" w:cs="黑体"/>
          <w:kern w:val="0"/>
          <w:sz w:val="32"/>
          <w:szCs w:val="32"/>
        </w:rPr>
        <w:t>第二部分  2021年度部门决算表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一、收入支出决算总表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二、收入决算表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三、支出决算表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四、财政拨款收入支出决算总表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五、一般公共预算财政拨款收入支出决算表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六、一般公共预算财政拨款基本支出决算表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七、政府性基金预算财政拨款收入支出决算表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八、国有资本经营预算财政拨款收入支出决算表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黑体" w:hAnsi="宋体" w:eastAsia="黑体" w:cs="黑体"/>
          <w:kern w:val="0"/>
          <w:sz w:val="32"/>
          <w:szCs w:val="32"/>
        </w:rPr>
      </w:pPr>
      <w:r>
        <w:rPr>
          <w:rFonts w:hint="eastAsia" w:ascii="楷体" w:hAnsi="楷体" w:eastAsia="楷体" w:cs="楷体"/>
          <w:kern w:val="0"/>
          <w:sz w:val="32"/>
          <w:szCs w:val="32"/>
        </w:rPr>
        <w:t>九、“三公”经费、行政参公单位机关运行经费情况表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黑体" w:hAnsi="宋体" w:eastAsia="黑体" w:cs="黑体"/>
          <w:kern w:val="0"/>
          <w:sz w:val="32"/>
          <w:szCs w:val="32"/>
        </w:rPr>
      </w:pPr>
      <w:r>
        <w:rPr>
          <w:rFonts w:hint="eastAsia" w:ascii="黑体" w:hAnsi="宋体" w:eastAsia="黑体" w:cs="黑体"/>
          <w:kern w:val="0"/>
          <w:sz w:val="32"/>
          <w:szCs w:val="32"/>
        </w:rPr>
        <w:t>第三部分  2021年度部门决算情况说明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一、收入决算情况说明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二、支出决算情况说明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三、一般公共预算财政拨款支出决算情况说明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四、一般公共预算财政拨款“三公”经费支出决算情况说明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黑体" w:hAnsi="宋体" w:eastAsia="黑体" w:cs="黑体"/>
          <w:kern w:val="0"/>
          <w:sz w:val="32"/>
          <w:szCs w:val="32"/>
        </w:rPr>
      </w:pPr>
      <w:r>
        <w:rPr>
          <w:rFonts w:hint="eastAsia" w:ascii="黑体" w:hAnsi="宋体" w:eastAsia="黑体" w:cs="黑体"/>
          <w:kern w:val="0"/>
          <w:sz w:val="32"/>
          <w:szCs w:val="32"/>
        </w:rPr>
        <w:t>第四部分  其他重要事项及相关口径情况说明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一、机关运行经费支出情况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二、国有资产占用情况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三、政府采购支出情况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四、部门绩效自评情况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（一）部门整体支出绩效自评情况</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（二）部门整体支出绩效自评表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（三）项目支出绩效自评表</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楷体" w:hAnsi="楷体" w:eastAsia="楷体" w:cs="楷体"/>
          <w:kern w:val="0"/>
          <w:sz w:val="32"/>
          <w:szCs w:val="32"/>
        </w:rPr>
      </w:pPr>
      <w:r>
        <w:rPr>
          <w:rFonts w:hint="eastAsia" w:ascii="楷体" w:hAnsi="楷体" w:eastAsia="楷体" w:cs="楷体"/>
          <w:kern w:val="0"/>
          <w:sz w:val="32"/>
          <w:szCs w:val="32"/>
        </w:rPr>
        <w:t>五、其他重要事项情况说明</w:t>
      </w:r>
    </w:p>
    <w:p>
      <w:pPr>
        <w:keepNext w:val="0"/>
        <w:keepLines w:val="0"/>
        <w:widowControl/>
        <w:suppressLineNumbers w:val="0"/>
        <w:topLinePunct/>
        <w:snapToGrid w:val="0"/>
        <w:spacing w:before="0" w:beforeAutospacing="0" w:after="0" w:afterAutospacing="0" w:line="590" w:lineRule="exact"/>
        <w:ind w:left="0" w:right="0" w:firstLine="0"/>
        <w:jc w:val="both"/>
        <w:rPr>
          <w:rFonts w:hint="eastAsia" w:ascii="黑体" w:hAnsi="宋体" w:eastAsia="黑体" w:cs="黑体"/>
          <w:kern w:val="0"/>
          <w:sz w:val="32"/>
          <w:szCs w:val="32"/>
        </w:rPr>
      </w:pPr>
      <w:r>
        <w:rPr>
          <w:rFonts w:hint="eastAsia" w:ascii="黑体" w:hAnsi="宋体" w:eastAsia="黑体" w:cs="黑体"/>
          <w:kern w:val="0"/>
          <w:sz w:val="32"/>
          <w:szCs w:val="32"/>
        </w:rPr>
        <w:t>第五部分  名词解释</w:t>
      </w:r>
    </w:p>
    <w:p>
      <w:pPr>
        <w:keepNext w:val="0"/>
        <w:keepLines w:val="0"/>
        <w:widowControl/>
        <w:suppressLineNumbers w:val="0"/>
        <w:topLinePunct/>
        <w:autoSpaceDE w:val="0"/>
        <w:autoSpaceDN w:val="0"/>
        <w:spacing w:before="0" w:beforeAutospacing="0" w:after="0" w:afterAutospacing="0" w:line="590" w:lineRule="exact"/>
        <w:ind w:left="0" w:right="0"/>
        <w:jc w:val="center"/>
        <w:rPr>
          <w:rFonts w:hint="eastAsia" w:ascii="黑体" w:hAnsi="宋体" w:eastAsia="黑体" w:cs="黑体"/>
          <w:kern w:val="0"/>
          <w:sz w:val="36"/>
          <w:szCs w:val="36"/>
        </w:rPr>
      </w:pPr>
      <w:r>
        <w:rPr>
          <w:rFonts w:hint="default" w:ascii="Times New Roman" w:hAnsi="Times New Roman" w:eastAsia="宋体" w:cs="Times New Roman"/>
          <w:kern w:val="0"/>
          <w:sz w:val="32"/>
          <w:szCs w:val="32"/>
        </w:rPr>
        <w:br w:type="page"/>
      </w:r>
      <w:r>
        <w:rPr>
          <w:rFonts w:hint="eastAsia" w:ascii="黑体" w:hAnsi="宋体" w:eastAsia="黑体" w:cs="黑体"/>
          <w:kern w:val="0"/>
          <w:sz w:val="36"/>
          <w:szCs w:val="36"/>
        </w:rPr>
        <w:t>第一部分  澄江市植保植检站概况</w:t>
      </w:r>
    </w:p>
    <w:p>
      <w:pPr>
        <w:keepNext w:val="0"/>
        <w:keepLines w:val="0"/>
        <w:widowControl/>
        <w:suppressLineNumbers w:val="0"/>
        <w:topLinePunct/>
        <w:autoSpaceDE w:val="0"/>
        <w:autoSpaceDN/>
        <w:spacing w:line="590" w:lineRule="exact"/>
        <w:ind w:left="0" w:leftChars="0" w:right="0" w:rightChars="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一、主要职能</w:t>
      </w:r>
    </w:p>
    <w:p>
      <w:pPr>
        <w:keepNext w:val="0"/>
        <w:keepLines w:val="0"/>
        <w:widowControl/>
        <w:suppressLineNumbers w:val="0"/>
        <w:topLinePunct/>
        <w:autoSpaceDE w:val="0"/>
        <w:autoSpaceDN/>
        <w:snapToGrid w:val="0"/>
        <w:spacing w:line="590" w:lineRule="exact"/>
        <w:ind w:left="0" w:leftChars="0" w:right="0" w:rightChars="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（一）主要职能</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负责全县范围内病虫草鼠害的预测预报及指导防治工作。全县设6个病害监测点，派专人定期、定田、定作物进行监测，定期发送病虫害简报，及时指导农户进行适时防治。利用定期监测和大面积踏查相结合的方式，及时做好病虫害的预警控制。</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2.加强植物检疫工作，控制有害生物的为害。在全县范围内开展植物产地检疫和调运检疫工作，杜绝危险性病虫草鼠害在我县传播蔓延。</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3.农资市场农药及农药器械管理工作。受农业局委托，我站将加大对农资市场的监管，经常采取定期、不定期的抽查。积极配合工商、公安等部门对全县农资市场进行全面清查，真正净化农资市场，减少坑农事件的发生。</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4.农产品农残检测工作。认真做好无公害基地建设,坚持每月上旬到集市、基地采集抽样不少于100个蔬菜样品进行农药残毒检测，并及时向相关部门报送检测数据。</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5.新农药的引进试验示范及推广工作。通过新农药的引进推广，解决了广大农户的一些实际问题，确保了农业的安全生产。</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6.植保新技术的推广工作。积极引进和推广一些绿色防控新技术，做好科技培训工作。</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7.做好一年两次的鼠害联防工作，每年夏季、冬季定期开展两次全县农村、农户、农田大面积灭鼠，做到统一供药、统一时间、统一行动、做到一户不漏，一块不少投放毒饵，降低了鼠密度，杜绝了鼠疫的发生。</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8.科技培训工作。在全县范围内，积极开展科技培训工作，每年培训不少于20期，培训人数不少于2,000人。</w:t>
      </w:r>
    </w:p>
    <w:p>
      <w:pPr>
        <w:keepNext w:val="0"/>
        <w:keepLines w:val="0"/>
        <w:widowControl/>
        <w:suppressLineNumbers w:val="0"/>
        <w:topLinePunct/>
        <w:autoSpaceDE w:val="0"/>
        <w:autoSpaceDN/>
        <w:snapToGrid w:val="0"/>
        <w:spacing w:line="590" w:lineRule="exact"/>
        <w:ind w:left="0" w:leftChars="0" w:right="0" w:rightChars="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（二）2021年度重点工作任务介绍</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1、搞好病虫害预测预报。测报是植保工作中重点，目前我站已在全县建立10个病虫害监测点、7个草场贪夜蛾监测点，能够对重大病虫害发生趋势作出及时准确预报，指导广大农民群众进行科学用药防治。</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2、完成草地贪夜蛾的监测与防治工作。今年4月份以来，草地贪夜蛾疫情入侵我县，经市植保站监测，4月26日首次在海口镇永和村委会发现草地贪夜蛾，面积0.5</w:t>
      </w:r>
      <w:r>
        <w:rPr>
          <w:rFonts w:hint="eastAsia" w:ascii="仿宋" w:hAnsi="仿宋" w:eastAsia="仿宋" w:cs="仿宋"/>
          <w:b w:val="0"/>
          <w:i w:val="0"/>
          <w:caps w:val="0"/>
          <w:spacing w:val="0"/>
          <w:kern w:val="0"/>
          <w:sz w:val="32"/>
          <w:szCs w:val="32"/>
          <w:shd w:val="clear" w:color="auto" w:fill="FFFFFF"/>
          <w:lang w:val="en-US" w:eastAsia="zh-CN"/>
        </w:rPr>
        <w:t>0</w:t>
      </w:r>
      <w:r>
        <w:rPr>
          <w:rFonts w:hint="eastAsia" w:ascii="仿宋" w:hAnsi="仿宋" w:eastAsia="仿宋" w:cs="仿宋"/>
          <w:b w:val="0"/>
          <w:i w:val="0"/>
          <w:caps w:val="0"/>
          <w:spacing w:val="0"/>
          <w:kern w:val="0"/>
          <w:sz w:val="32"/>
          <w:szCs w:val="32"/>
          <w:shd w:val="clear" w:color="auto" w:fill="FFFFFF"/>
        </w:rPr>
        <w:t>亩，至5月29日已在龙街街道、海口镇、路居镇等三个区域的春玉米上零星发生，发生面积18.5</w:t>
      </w:r>
      <w:r>
        <w:rPr>
          <w:rFonts w:hint="eastAsia" w:ascii="仿宋" w:hAnsi="仿宋" w:eastAsia="仿宋" w:cs="仿宋"/>
          <w:b w:val="0"/>
          <w:i w:val="0"/>
          <w:caps w:val="0"/>
          <w:spacing w:val="0"/>
          <w:kern w:val="0"/>
          <w:sz w:val="32"/>
          <w:szCs w:val="32"/>
          <w:shd w:val="clear" w:color="auto" w:fill="FFFFFF"/>
          <w:lang w:val="en-US" w:eastAsia="zh-CN"/>
        </w:rPr>
        <w:t>0</w:t>
      </w:r>
      <w:r>
        <w:rPr>
          <w:rFonts w:hint="eastAsia" w:ascii="仿宋" w:hAnsi="仿宋" w:eastAsia="仿宋" w:cs="仿宋"/>
          <w:b w:val="0"/>
          <w:i w:val="0"/>
          <w:caps w:val="0"/>
          <w:spacing w:val="0"/>
          <w:kern w:val="0"/>
          <w:sz w:val="32"/>
          <w:szCs w:val="32"/>
          <w:shd w:val="clear" w:color="auto" w:fill="FFFFFF"/>
        </w:rPr>
        <w:t>亩。随着夏玉米播种后出苗，为害面积逐渐扩大，截至6月14日，在我县两街道四个镇累计发生面积5,875</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亩次，全县农业农村部门组织农民自防46</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亩次，全县平均被害株率5.4</w:t>
      </w:r>
      <w:r>
        <w:rPr>
          <w:rFonts w:hint="eastAsia" w:ascii="仿宋" w:hAnsi="仿宋" w:eastAsia="仿宋" w:cs="仿宋"/>
          <w:b w:val="0"/>
          <w:i w:val="0"/>
          <w:caps w:val="0"/>
          <w:spacing w:val="0"/>
          <w:kern w:val="0"/>
          <w:sz w:val="32"/>
          <w:szCs w:val="32"/>
          <w:shd w:val="clear" w:color="auto" w:fill="FFFFFF"/>
          <w:lang w:val="en-US" w:eastAsia="zh-CN"/>
        </w:rPr>
        <w:t>0</w:t>
      </w:r>
      <w:r>
        <w:rPr>
          <w:rFonts w:hint="eastAsia" w:ascii="仿宋" w:hAnsi="仿宋" w:eastAsia="仿宋" w:cs="仿宋"/>
          <w:b w:val="0"/>
          <w:i w:val="0"/>
          <w:caps w:val="0"/>
          <w:spacing w:val="0"/>
          <w:kern w:val="0"/>
          <w:sz w:val="32"/>
          <w:szCs w:val="32"/>
          <w:shd w:val="clear" w:color="auto" w:fill="FFFFFF"/>
        </w:rPr>
        <w:t>%、最高被害株率34.1</w:t>
      </w:r>
      <w:r>
        <w:rPr>
          <w:rFonts w:hint="eastAsia" w:ascii="仿宋" w:hAnsi="仿宋" w:eastAsia="仿宋" w:cs="仿宋"/>
          <w:b w:val="0"/>
          <w:i w:val="0"/>
          <w:caps w:val="0"/>
          <w:spacing w:val="0"/>
          <w:kern w:val="0"/>
          <w:sz w:val="32"/>
          <w:szCs w:val="32"/>
          <w:shd w:val="clear" w:color="auto" w:fill="FFFFFF"/>
          <w:lang w:val="en-US" w:eastAsia="zh-CN"/>
        </w:rPr>
        <w:t>0</w:t>
      </w:r>
      <w:r>
        <w:rPr>
          <w:rFonts w:hint="eastAsia" w:ascii="仿宋" w:hAnsi="仿宋" w:eastAsia="仿宋" w:cs="仿宋"/>
          <w:b w:val="0"/>
          <w:i w:val="0"/>
          <w:caps w:val="0"/>
          <w:spacing w:val="0"/>
          <w:kern w:val="0"/>
          <w:sz w:val="32"/>
          <w:szCs w:val="32"/>
          <w:shd w:val="clear" w:color="auto" w:fill="FFFFFF"/>
        </w:rPr>
        <w:t>%，平均百株虫量5头、最高百株虫量47头。至6月28日全市种植玉米43,377.96亩，发生草地贪夜蛾为害面积36,077.08亩，涉及287村小组，个发生较轻的7,300.88亩。完成防控面积83,122.84亩次，其中统防统治面积49,084.71亩次，防控率191.62%，统防统治率113.16%。开展技术培训287次，培训人数27,620人次。</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3、绿色防控技术的推广应用</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①性诱技术。2021年开展“果蝇性诱剂推广示范工作”，示范面积100</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亩。全市实施性诱防虫49,715</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亩次；②色板诱杀技术。2021年在烤烟、蔬菜、蓝莓等作物上开展黄板虫96,542</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亩次；③灯诱技术。2020年在果树、水稻、荷藕等作物上开展灯诱61,297</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亩次。④在水稻、玉米、烤烟、油菜、蓝莓、蔬菜等作物上推广应用生物农药防治病虫22,251</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亩次。2021年全年开展绿色防控防治病虫害229,805</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亩次。</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规范检疫执法，努力搞好植物检疫工作。加强农作物病虫害疫情普查及防治工作，认真做好种子产地、调运检疫，今年产地检疫合格100</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%。加强市场监管，春秋两季我们组织人员依法对种子企业及城乡种子经营户进行联查联治。共开展调运检疫2批次，蓝莓苗2,001,000</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株，荷藕5,000</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㎏；开展植物产地检疫，水稻5,500</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亩。</w:t>
      </w:r>
    </w:p>
    <w:p>
      <w:pPr>
        <w:keepNext w:val="0"/>
        <w:keepLines w:val="0"/>
        <w:widowControl/>
        <w:suppressLineNumbers w:val="0"/>
        <w:topLinePunct/>
        <w:autoSpaceDE w:val="0"/>
        <w:autoSpaceDN/>
        <w:spacing w:line="590" w:lineRule="exact"/>
        <w:ind w:left="0" w:leftChars="0" w:right="0" w:rightChars="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二、部门基本情况</w:t>
      </w:r>
    </w:p>
    <w:p>
      <w:pPr>
        <w:keepNext w:val="0"/>
        <w:keepLines w:val="0"/>
        <w:widowControl/>
        <w:suppressLineNumbers w:val="0"/>
        <w:topLinePunct/>
        <w:spacing w:before="0" w:beforeAutospacing="0" w:after="0" w:afterAutospacing="0" w:line="590" w:lineRule="exac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（一）部门决算单位构成</w:t>
      </w:r>
    </w:p>
    <w:p>
      <w:pPr>
        <w:keepNext w:val="0"/>
        <w:keepLines w:val="0"/>
        <w:widowControl/>
        <w:suppressLineNumbers w:val="0"/>
        <w:topLinePunct/>
        <w:spacing w:before="0" w:beforeAutospacing="0" w:after="0" w:afterAutospacing="0" w:line="590" w:lineRule="exac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纳入澄江市植保植检站2021年度部门决算编报的单位共1个。其中：行政单位0个，参照公务员法管理的事业单位0个，其他事业单位1个，分别是：澄江市植保植检站。</w:t>
      </w:r>
    </w:p>
    <w:p>
      <w:pPr>
        <w:keepNext w:val="0"/>
        <w:keepLines w:val="0"/>
        <w:widowControl/>
        <w:suppressLineNumbers w:val="0"/>
        <w:topLinePunct/>
        <w:spacing w:before="0" w:beforeAutospacing="0" w:after="0" w:afterAutospacing="0" w:line="590" w:lineRule="exac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（二）部门人员和车辆的编制及实有情况</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末实有人员编制9人。其中：行政编制0人（含行政工勤编制0人），事业编制9人（含参公管理事业编制0人）；在职在编实有行政人员0人（含行政工勤人员0人），事业人员9人（含参公管理事业人员0人）。</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离退休人员6人。其中：离休0人，退休6人。</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实有车辆编制0辆，在编实有车辆0辆。</w:t>
      </w:r>
    </w:p>
    <w:p>
      <w:pPr>
        <w:keepNext w:val="0"/>
        <w:keepLines w:val="0"/>
        <w:widowControl/>
        <w:suppressLineNumbers w:val="0"/>
        <w:topLinePunct/>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 xml:space="preserve"> </w:t>
      </w:r>
    </w:p>
    <w:p>
      <w:pPr>
        <w:keepNext w:val="0"/>
        <w:keepLines w:val="0"/>
        <w:widowControl/>
        <w:suppressLineNumbers w:val="0"/>
        <w:topLinePunct/>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第二部分  2021年度部门决算表</w:t>
      </w:r>
    </w:p>
    <w:p>
      <w:pPr>
        <w:keepNext w:val="0"/>
        <w:keepLines w:val="0"/>
        <w:widowControl/>
        <w:suppressLineNumbers w:val="0"/>
        <w:topLinePunct/>
        <w:spacing w:before="0" w:beforeAutospacing="0" w:after="0" w:afterAutospacing="0" w:line="590" w:lineRule="exact"/>
        <w:ind w:left="0" w:right="0" w:firstLine="640"/>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（详见附件）</w:t>
      </w:r>
    </w:p>
    <w:p>
      <w:pPr>
        <w:keepNext w:val="0"/>
        <w:keepLines w:val="0"/>
        <w:widowControl/>
        <w:suppressLineNumbers w:val="0"/>
        <w:topLinePunct/>
        <w:autoSpaceDE w:val="0"/>
        <w:autoSpaceDN/>
        <w:spacing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澄江市植保植检站2021年度没有政府性基金收入，也没有使用政府性基金安排的支出，故《政府性基金预算财政拨款收入支出决算表》无数据。</w:t>
      </w:r>
    </w:p>
    <w:p>
      <w:pPr>
        <w:pStyle w:val="2"/>
        <w:keepNext w:val="0"/>
        <w:keepLines w:val="0"/>
        <w:widowControl/>
        <w:suppressLineNumbers w:val="0"/>
        <w:autoSpaceDE w:val="0"/>
        <w:autoSpaceDN/>
        <w:snapToGrid w:val="0"/>
        <w:spacing w:line="590" w:lineRule="exact"/>
        <w:ind w:left="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澄江市植保植检站2021年度没有国有资本经营预算财政拨款收入，也没有使用国有资本经营预算财政拨款安排的支出，故《国有资本经营预算财政拨款收入支出决算表》无数据。</w:t>
      </w:r>
    </w:p>
    <w:p>
      <w:pPr>
        <w:pStyle w:val="2"/>
        <w:keepNext w:val="0"/>
        <w:keepLines w:val="0"/>
        <w:widowControl/>
        <w:suppressLineNumbers w:val="0"/>
        <w:rPr>
          <w:rFonts w:hint="eastAsia" w:ascii="仿宋_GB2312" w:hAnsi="Times New Roman" w:eastAsia="仿宋_GB2312" w:cs="宋体"/>
          <w:kern w:val="0"/>
          <w:sz w:val="24"/>
          <w:szCs w:val="24"/>
        </w:rPr>
      </w:pPr>
      <w:r>
        <w:rPr>
          <w:rFonts w:hint="eastAsia" w:ascii="仿宋_GB2312" w:hAnsi="Times New Roman" w:eastAsia="仿宋_GB2312" w:cs="宋体"/>
          <w:kern w:val="0"/>
          <w:sz w:val="24"/>
          <w:szCs w:val="24"/>
        </w:rPr>
        <w:t xml:space="preserve"> </w:t>
      </w:r>
    </w:p>
    <w:p>
      <w:pPr>
        <w:keepNext w:val="0"/>
        <w:keepLines w:val="0"/>
        <w:widowControl/>
        <w:suppressLineNumbers w:val="0"/>
        <w:topLinePunct/>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第三部分  2021年度部门决算情况说明</w:t>
      </w:r>
    </w:p>
    <w:p>
      <w:pPr>
        <w:keepNext w:val="0"/>
        <w:keepLines w:val="0"/>
        <w:widowControl/>
        <w:suppressLineNumbers w:val="0"/>
        <w:topLinePunct/>
        <w:spacing w:before="0" w:beforeAutospacing="0" w:after="0" w:afterAutospacing="0" w:line="590" w:lineRule="exac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一、收入决算情况说明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度收入合计211.96万元。其中：财政拨款收入211.96万元，占总收入的100.00%；上级补助收入0.00万元，占总收入的0.00%；事业收入0.00万元（含教育收费0.00万元），占总收入的0.00%；经营收入0.00万元，占总收入的0.00%；附属单位缴款收入0.00万元，占总收入的0.00%；其他收入0.00万元，占总收入的0.00%。与上年相比，减少53.51万元，下降20.16%，主要减少的原因是：</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1.人员经费与上年相比，减少5.75万元，减少2.84%，主要因为政策性减薪。</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2.公用经费与上年相比，减少11.41万元，减少75.12%，主要是因为没有福利费、培训费及会议费等支出。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3.项目经费由去年的47.89万元增加到今年的11.55万元，减少36.35万元，减少75.90%。</w:t>
      </w:r>
    </w:p>
    <w:p>
      <w:pPr>
        <w:keepNext w:val="0"/>
        <w:keepLines w:val="0"/>
        <w:widowControl/>
        <w:suppressLineNumbers w:val="0"/>
        <w:topLinePunct/>
        <w:spacing w:before="0" w:beforeAutospacing="0" w:after="0" w:afterAutospacing="0" w:line="590" w:lineRule="exac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二、支出决算情况说明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度支出合计211.96万元。其中：基本支出200.41万元，占总支出的94.55%；项目支出11.55万元，占总支出的5.45%；上缴上级支出、经营支出、对附属单位补助支出共0.00万元，占总支出的0.00%。与上年相比，减少53.51万元，下降20.16%，主要减少的原因是：</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1.人员经费与上年相比，减少5.75万元，减少2.84%，主要因为政策性减薪。</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2.公用经费与上年相比，减少11.41万元，减少75.12%，主要是因为没有福利费、培训费及会议费等支出。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3.项目经费由去年的47.89万元增加到今年的11.55万元，减少36.35万元，减少75.90%.。</w:t>
      </w:r>
    </w:p>
    <w:p>
      <w:pPr>
        <w:keepNext w:val="0"/>
        <w:keepLines w:val="0"/>
        <w:widowControl/>
        <w:suppressLineNumbers w:val="0"/>
        <w:topLinePunct/>
        <w:spacing w:before="0" w:beforeAutospacing="0" w:after="0" w:afterAutospacing="0" w:line="590" w:lineRule="exac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（一）基本支出情况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2021年度用于保障澄江市植保植检站机关、下属事业单位等机构正常运转的日常支出200.41万元。与上年265.47万元对比主要减少的原因是：</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1.人员经费由上年的202.38万元到今年的196.63万元，减少5.75万元，减少2.84%，主要因为政策性减薪。</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公用经费由2020年的15.19万元到今年的3.78万元，减少11.41万元，减少75.12%，主要由于今年财政资金紧张，没有福利费、培训费及会议费等支出。其中：基本工资、津贴补贴等人员经费支出196.63万元，占基本支出的98.11%；办公费、印刷费、水电费、办公设备购置等公用经费3.78万元，占基本支出的1.89%。</w:t>
      </w:r>
    </w:p>
    <w:p>
      <w:pPr>
        <w:keepNext w:val="0"/>
        <w:keepLines w:val="0"/>
        <w:widowControl/>
        <w:suppressLineNumbers w:val="0"/>
        <w:topLinePunct/>
        <w:spacing w:before="0" w:beforeAutospacing="0" w:after="0" w:afterAutospacing="0" w:line="590" w:lineRule="exac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（二）项目支出情况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2021年度用于保障澄江市植保植检站机构、下属事业单位等机构为完成特定的行政工作任务或事业发展目标，用于专项业务工作的经费支出11.55万元。项目经费减少36.35万元，下降75.90%，主要原因是本年度只有一个项目，项目数量减少。</w:t>
      </w:r>
    </w:p>
    <w:p>
      <w:pPr>
        <w:keepNext w:val="0"/>
        <w:keepLines w:val="0"/>
        <w:widowControl/>
        <w:suppressLineNumbers w:val="0"/>
        <w:topLinePunct/>
        <w:spacing w:before="0" w:beforeAutospacing="0" w:after="0" w:afterAutospacing="0" w:line="590" w:lineRule="exac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三、一般公共预算财政拨款支出决算情况说明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楷体" w:hAnsi="楷体" w:eastAsia="楷体" w:cs="楷体"/>
          <w:kern w:val="0"/>
          <w:sz w:val="32"/>
          <w:szCs w:val="32"/>
        </w:rPr>
        <w:t>（一）一般公共预算财政拨款支出决算总体情况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澄江市植保植检站2021年度一般公共预算财政拨款支出211.96万元，占本年支出合计的100.00%。与上年相比，减少53.51万元，下降20.16%，主要减少的原因是：</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1.人员经费由上年的202.38万元到今年的196.63万元，减少5.75万元，减少2.84%，主要因为政策性减薪。</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K" w:hAnsi="方正仿宋_GBK" w:eastAsia="方正仿宋_GBK" w:cs="方正仿宋_GBK"/>
          <w:kern w:val="0"/>
          <w:sz w:val="32"/>
          <w:szCs w:val="32"/>
        </w:rPr>
      </w:pPr>
      <w:r>
        <w:rPr>
          <w:rFonts w:hint="eastAsia" w:ascii="仿宋" w:hAnsi="仿宋" w:eastAsia="仿宋" w:cs="仿宋"/>
          <w:b w:val="0"/>
          <w:i w:val="0"/>
          <w:caps w:val="0"/>
          <w:spacing w:val="0"/>
          <w:kern w:val="0"/>
          <w:sz w:val="32"/>
          <w:szCs w:val="32"/>
          <w:shd w:val="clear" w:color="auto" w:fill="FFFFFF"/>
        </w:rPr>
        <w:t>2.公用经费由2020年的15.19万元到今年的3.78万元，减少11.41万元，减少75.12%，主要由于今年财政资金紧张，没有福利费、培训费及会议费等支出。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（二）一般公共预算财政拨款支出决算具体情况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1．一般公共服务（类）支出0.00万元，占一般公共预算财政拨款总支出的0.00%。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2．外交（类）支出0.00万元，占一般公共预算财政拨款总支出的0.00%。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3．国防（类）支出0.00万元，占一般公共预算财政拨款总支出的0.00%。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4．公共安全（类）支出0.00万元，占一般公共预算财政拨款总支出的0.00%。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5．教育（类）支出0.00万元，占一般公共预算财政拨款总支出的0.00%。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6．科学技术（类）支出0.00万元，占一般公共预算财政拨款总支出的0.00%。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7．文化旅游体育与传媒（类）支出0.00万元，占一般公共预算财政拨款总支出的0.00%。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8．社会保障和就业（类）支出29.39万元，占一般公共预算财政拨款总支出的13.86%。主要用于：事业单位离退休费16.14万元，机关事业单位基本养老保险缴费支出13.25万元。</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9．卫生健康（类）支出13.35万元，占一般公共预算财政拨款总支出的6.30%。主要用于事业单位医疗补助7.22万元，公务员医疗补助6.12万元。</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10．节能环保（类）支出0.00万元，占一般公共预算财政拨款总支出的0.00%。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11．城乡社区（类）支出0.00万元，占一般公共预算财政拨款总支出的0.00%。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12．农林水（类）支出152.98万元，占一般公共预算财政拨款总支出的72.18%。主要用于人员经费支出141.43万元及项目支出11.55万元。</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13．交通运输（类）支出0.00万元，占一般公共预算财政拨款总支出的0.00%。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14．资源勘探工业信息等（类）支出类0.00万元，占一般公共预算财政拨款总支出的0.00%。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15．商业服务业等（类）支出0.00万元，占一般公共预算财政拨款总支出的0.00%。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16．金融（类）支出0.00万元，占一般公共预算财政拨款总支出的0.00%。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17．援助其他地区（类）支出0.00万元，占一般公共预算财政拨款总支出的0.00%。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18．自然资源海洋气象等（类）支出0.00万元，占一般公共预算财政拨款总支出的0.00%。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19．住房保障（类）支出16.24万元，占一般公共预算财政拨款总支出的7.66%。主要用于住房公积金补助15.00万元，职工购房补贴1.24万元。</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20．粮油物资储备（类）支出0.00万元，占一般公共预算财政拨款总支出的0.00%。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21．国有资本经营预算（类）支出0.00万元，占一般公共预算财政拨款总支出的0.00%。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22．灾害防治及应急管理（类）支出0.00万元，占一般公共预算财政拨款总支出的0.00%。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23．其他（类）支出0.00万元，占一般公共预算财政拨款总支出的0.00%。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24．债务还本（类）支出0.00万元，占一般公共预算财政拨款总支出的0.00%。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25．债务付息（类）支出0.00万元，占一般公共预算财政拨款总支出的0.00%。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26．抗疫特别国债安排（类）支出0.00万元，占一般公共预算财政拨款总支出的0.00%。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四、一般公共预算财政拨款“三公”经费支出决算情况说明。</w:t>
      </w:r>
    </w:p>
    <w:p>
      <w:pPr>
        <w:keepNext w:val="0"/>
        <w:keepLines w:val="0"/>
        <w:widowControl/>
        <w:suppressLineNumbers w:val="0"/>
        <w:topLinePunct/>
        <w:spacing w:before="0" w:beforeAutospacing="0" w:after="0" w:afterAutospacing="0" w:line="590" w:lineRule="exac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（一）一般公共预算财政拨款“三公”经费支出决算总体情况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度一般公共预算财政拨款“三公”经费支出预算为0.00万元，支出决算为0.00万元，完成预算的0.00%。其中：因公出国（境）费支出决算为0.00万元，完成预算的0.00%；公务用车购置及运行费支出决算为0.00万元，完成预算的0.00%；公务接待费支出决算为0.00万元，完成预算的0.00%。澄江市植保植检站无此事项。</w:t>
      </w:r>
    </w:p>
    <w:p>
      <w:pPr>
        <w:keepNext w:val="0"/>
        <w:keepLines w:val="0"/>
        <w:widowControl/>
        <w:suppressLineNumbers w:val="0"/>
        <w:topLinePunct/>
        <w:spacing w:before="0" w:beforeAutospacing="0" w:after="0" w:afterAutospacing="0" w:line="590" w:lineRule="exac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从2019年起取消事业单位三公经费拨款。</w:t>
      </w:r>
    </w:p>
    <w:p>
      <w:pPr>
        <w:keepNext w:val="0"/>
        <w:keepLines w:val="0"/>
        <w:widowControl/>
        <w:suppressLineNumbers w:val="0"/>
        <w:topLinePunct/>
        <w:spacing w:before="0" w:beforeAutospacing="0" w:after="0" w:afterAutospacing="0" w:line="590" w:lineRule="exact"/>
        <w:ind w:left="0" w:right="0" w:firstLine="640"/>
        <w:jc w:val="both"/>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(二)一般公共预算财政拨款“三公”经费支出决算具体情况</w:t>
      </w:r>
    </w:p>
    <w:p>
      <w:pPr>
        <w:keepNext w:val="0"/>
        <w:keepLines w:val="0"/>
        <w:widowControl/>
        <w:suppressLineNumbers w:val="0"/>
        <w:topLinePunct/>
        <w:spacing w:before="0" w:beforeAutospacing="0" w:after="0" w:afterAutospacing="0" w:line="590" w:lineRule="exac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2021年度一般公共预算财政拨款“三公”经费支出决算中，因公出国（境）费支出0.00万元，占0.00%；公务用车购置及运行维护费支出0.00万元，占0.00%；公务接待费支出0.00万元，占0.00%。具体情况如下：</w:t>
      </w:r>
    </w:p>
    <w:p>
      <w:pPr>
        <w:keepNext w:val="0"/>
        <w:keepLines w:val="0"/>
        <w:widowControl/>
        <w:numPr>
          <w:ilvl w:val="0"/>
          <w:numId w:val="1"/>
        </w:numPr>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kern w:val="0"/>
          <w:sz w:val="32"/>
          <w:szCs w:val="32"/>
        </w:rPr>
        <w:t>因公出国（境）费</w:t>
      </w:r>
      <w:r>
        <w:rPr>
          <w:rFonts w:hint="eastAsia" w:ascii="仿宋" w:hAnsi="仿宋" w:eastAsia="仿宋" w:cs="仿宋"/>
          <w:b w:val="0"/>
          <w:i w:val="0"/>
          <w:caps w:val="0"/>
          <w:spacing w:val="0"/>
          <w:kern w:val="0"/>
          <w:sz w:val="32"/>
          <w:szCs w:val="32"/>
          <w:shd w:val="clear" w:color="auto" w:fill="FFFFFF"/>
        </w:rPr>
        <w:t>支出0.00万元，共安排因公出国（境）团组0个，累计0人次。</w:t>
      </w:r>
    </w:p>
    <w:p>
      <w:pPr>
        <w:keepNext w:val="0"/>
        <w:keepLines w:val="0"/>
        <w:widowControl/>
        <w:numPr>
          <w:ilvl w:val="0"/>
          <w:numId w:val="1"/>
        </w:numPr>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kern w:val="0"/>
          <w:sz w:val="32"/>
          <w:szCs w:val="32"/>
        </w:rPr>
        <w:t>2．公务用车购置及运行维护费</w:t>
      </w:r>
      <w:r>
        <w:rPr>
          <w:rFonts w:hint="eastAsia" w:ascii="仿宋" w:hAnsi="仿宋" w:eastAsia="仿宋" w:cs="仿宋"/>
          <w:b w:val="0"/>
          <w:i w:val="0"/>
          <w:caps w:val="0"/>
          <w:spacing w:val="0"/>
          <w:kern w:val="0"/>
          <w:sz w:val="32"/>
          <w:szCs w:val="32"/>
          <w:shd w:val="clear" w:color="auto" w:fill="FFFFFF"/>
        </w:rPr>
        <w:t>支出0.00万元。其中：</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kern w:val="0"/>
          <w:sz w:val="32"/>
          <w:szCs w:val="32"/>
        </w:rPr>
        <w:t>公务用车购置</w:t>
      </w:r>
      <w:r>
        <w:rPr>
          <w:rFonts w:hint="eastAsia" w:ascii="仿宋" w:hAnsi="仿宋" w:eastAsia="仿宋" w:cs="仿宋"/>
          <w:b w:val="0"/>
          <w:i w:val="0"/>
          <w:caps w:val="0"/>
          <w:spacing w:val="0"/>
          <w:kern w:val="0"/>
          <w:sz w:val="32"/>
          <w:szCs w:val="32"/>
          <w:shd w:val="clear" w:color="auto" w:fill="FFFFFF"/>
        </w:rPr>
        <w:t>支出0.00万元，购置车辆0辆。澄江市植保植检站无此事项。</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kern w:val="0"/>
          <w:sz w:val="32"/>
          <w:szCs w:val="32"/>
        </w:rPr>
        <w:t>公务用车运行维护</w:t>
      </w:r>
      <w:r>
        <w:rPr>
          <w:rFonts w:hint="eastAsia" w:ascii="仿宋" w:hAnsi="仿宋" w:eastAsia="仿宋" w:cs="仿宋"/>
          <w:b w:val="0"/>
          <w:i w:val="0"/>
          <w:caps w:val="0"/>
          <w:spacing w:val="0"/>
          <w:kern w:val="0"/>
          <w:sz w:val="32"/>
          <w:szCs w:val="32"/>
          <w:shd w:val="clear" w:color="auto" w:fill="FFFFFF"/>
        </w:rPr>
        <w:t>支出0.00万元，开支一般公共预算财政拨款的公务用车保有量为0辆。</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eastAsia" w:ascii="仿宋" w:hAnsi="仿宋" w:eastAsia="仿宋" w:cs="仿宋"/>
          <w:b/>
          <w:kern w:val="0"/>
          <w:sz w:val="32"/>
          <w:szCs w:val="32"/>
        </w:rPr>
        <w:t>3．公务接待费</w:t>
      </w:r>
      <w:r>
        <w:rPr>
          <w:rFonts w:hint="eastAsia" w:ascii="仿宋" w:hAnsi="仿宋" w:eastAsia="仿宋" w:cs="仿宋"/>
          <w:b w:val="0"/>
          <w:i w:val="0"/>
          <w:caps w:val="0"/>
          <w:spacing w:val="0"/>
          <w:kern w:val="0"/>
          <w:sz w:val="32"/>
          <w:szCs w:val="32"/>
          <w:shd w:val="clear" w:color="auto" w:fill="FFFFFF"/>
        </w:rPr>
        <w:t>支出0.00万元。其中：</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kern w:val="0"/>
          <w:sz w:val="32"/>
          <w:szCs w:val="32"/>
        </w:rPr>
        <w:t>国内接待费</w:t>
      </w:r>
      <w:r>
        <w:rPr>
          <w:rFonts w:hint="eastAsia" w:ascii="仿宋" w:hAnsi="仿宋" w:eastAsia="仿宋" w:cs="仿宋"/>
          <w:b w:val="0"/>
          <w:i w:val="0"/>
          <w:caps w:val="0"/>
          <w:spacing w:val="0"/>
          <w:kern w:val="0"/>
          <w:sz w:val="32"/>
          <w:szCs w:val="32"/>
          <w:shd w:val="clear" w:color="auto" w:fill="FFFFFF"/>
        </w:rPr>
        <w:t>支出0.00万元（其中：外事接待费支出0.00万元），共安排国内公务接待0批次（其中：外事接待0批次），接待人次0人（其中：外事接待人次0人）。</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kern w:val="0"/>
          <w:sz w:val="32"/>
          <w:szCs w:val="32"/>
        </w:rPr>
        <w:t>国（境）外接待费</w:t>
      </w:r>
      <w:r>
        <w:rPr>
          <w:rFonts w:hint="eastAsia" w:ascii="仿宋" w:hAnsi="仿宋" w:eastAsia="仿宋" w:cs="仿宋"/>
          <w:b w:val="0"/>
          <w:i w:val="0"/>
          <w:caps w:val="0"/>
          <w:spacing w:val="0"/>
          <w:kern w:val="0"/>
          <w:sz w:val="32"/>
          <w:szCs w:val="32"/>
          <w:shd w:val="clear" w:color="auto" w:fill="FFFFFF"/>
        </w:rPr>
        <w:t>支出0.00万元，共安排国（境）外公务接待0批次，接待人次0人。</w:t>
      </w:r>
    </w:p>
    <w:p>
      <w:pPr>
        <w:keepNext w:val="0"/>
        <w:keepLines w:val="0"/>
        <w:widowControl/>
        <w:suppressLineNumbers w:val="0"/>
        <w:topLinePunct/>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 xml:space="preserve"> </w:t>
      </w:r>
    </w:p>
    <w:p>
      <w:pPr>
        <w:keepNext w:val="0"/>
        <w:keepLines w:val="0"/>
        <w:widowControl/>
        <w:suppressLineNumbers w:val="0"/>
        <w:topLinePunct/>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第四部分  其他重要事项及相关口径情况说明</w:t>
      </w:r>
    </w:p>
    <w:p>
      <w:pPr>
        <w:keepNext w:val="0"/>
        <w:keepLines w:val="0"/>
        <w:widowControl/>
        <w:suppressLineNumbers w:val="0"/>
        <w:topLinePunct/>
        <w:spacing w:before="0" w:beforeAutospacing="0" w:after="0" w:afterAutospacing="0" w:line="590" w:lineRule="exac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一、机关运行经费支出情况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澄江市植保植检站2021年机关运行经费支出0.00万元。</w:t>
      </w:r>
    </w:p>
    <w:p>
      <w:pPr>
        <w:keepNext w:val="0"/>
        <w:keepLines w:val="0"/>
        <w:widowControl/>
        <w:suppressLineNumbers w:val="0"/>
        <w:topLinePunct/>
        <w:spacing w:before="0" w:beforeAutospacing="0" w:after="0" w:afterAutospacing="0" w:line="590" w:lineRule="exac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二、国有资产占用情况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截至2021年12月31日，澄江市植保植检站资产总额6.46万元，与上年相比，本年资产总额减少24.43万元，下降79.09%，其中：固定资产折旧减少1.45万元，3月专户转出农产品质量安全检测站的项目资金20.00万元，上缴财政专户2.98万元。对外投资及有价证券0.00万元，在建工程0</w:t>
      </w:r>
      <w:r>
        <w:rPr>
          <w:rFonts w:hint="eastAsia" w:ascii="仿宋" w:hAnsi="仿宋" w:eastAsia="仿宋" w:cs="仿宋"/>
          <w:b w:val="0"/>
          <w:i w:val="0"/>
          <w:caps w:val="0"/>
          <w:spacing w:val="0"/>
          <w:kern w:val="0"/>
          <w:sz w:val="32"/>
          <w:szCs w:val="32"/>
          <w:shd w:val="clear" w:color="auto" w:fill="FFFFFF"/>
          <w:lang w:val="en-US" w:eastAsia="zh-CN"/>
        </w:rPr>
        <w:t>.00</w:t>
      </w:r>
      <w:r>
        <w:rPr>
          <w:rFonts w:hint="eastAsia" w:ascii="仿宋" w:hAnsi="仿宋" w:eastAsia="仿宋" w:cs="仿宋"/>
          <w:b w:val="0"/>
          <w:i w:val="0"/>
          <w:caps w:val="0"/>
          <w:spacing w:val="0"/>
          <w:kern w:val="0"/>
          <w:sz w:val="32"/>
          <w:szCs w:val="32"/>
          <w:shd w:val="clear" w:color="auto" w:fill="FFFFFF"/>
        </w:rPr>
        <w:t>万元，无形资产0.00万元，其他资产0.00万元（具体内容详见附表）。处置房屋建筑物0.00平方米，账面原值0.00万元；处置车辆0辆，账面原值0.00万元；报废报损资产0项，账面原值0.00万元，实现资产处置收入0.00万元；出租房屋0.00平方米，账面原值0.00万元，实现资产使用收入0.00万元。</w:t>
      </w:r>
    </w:p>
    <w:tbl>
      <w:tblPr>
        <w:tblStyle w:val="14"/>
        <w:tblW w:w="9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9439" w:type="dxa"/>
            <w:gridSpan w:val="13"/>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仿宋_GB2312" w:hAnsi="宋体" w:eastAsia="仿宋_GB2312" w:cs="仿宋_GB2312"/>
                <w:b/>
                <w:color w:val="000000"/>
                <w:kern w:val="0"/>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736" w:type="dxa"/>
            <w:gridSpan w:val="8"/>
            <w:tcBorders>
              <w:top w:val="nil"/>
              <w:left w:val="nil"/>
              <w:bottom w:val="single" w:color="auto" w:sz="4"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p>
        </w:tc>
        <w:tc>
          <w:tcPr>
            <w:tcW w:w="740" w:type="dxa"/>
            <w:tcBorders>
              <w:top w:val="nil"/>
              <w:left w:val="nil"/>
              <w:bottom w:val="single" w:color="auto" w:sz="4"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2963" w:type="dxa"/>
            <w:gridSpan w:val="4"/>
            <w:tcBorders>
              <w:top w:val="nil"/>
              <w:left w:val="nil"/>
              <w:bottom w:val="single" w:color="auto" w:sz="4"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27"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项目</w:t>
            </w:r>
          </w:p>
        </w:tc>
        <w:tc>
          <w:tcPr>
            <w:tcW w:w="489"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行次</w:t>
            </w:r>
          </w:p>
        </w:tc>
        <w:tc>
          <w:tcPr>
            <w:tcW w:w="740"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资产总额</w:t>
            </w:r>
          </w:p>
        </w:tc>
        <w:tc>
          <w:tcPr>
            <w:tcW w:w="740"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流动资产</w:t>
            </w:r>
          </w:p>
        </w:tc>
        <w:tc>
          <w:tcPr>
            <w:tcW w:w="378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固定资产</w:t>
            </w:r>
          </w:p>
        </w:tc>
        <w:tc>
          <w:tcPr>
            <w:tcW w:w="740"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对外投资/有价证券</w:t>
            </w:r>
          </w:p>
        </w:tc>
        <w:tc>
          <w:tcPr>
            <w:tcW w:w="740"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在建工程</w:t>
            </w:r>
          </w:p>
        </w:tc>
        <w:tc>
          <w:tcPr>
            <w:tcW w:w="740"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无形资产</w:t>
            </w:r>
          </w:p>
        </w:tc>
        <w:tc>
          <w:tcPr>
            <w:tcW w:w="743"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89"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39"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小计</w:t>
            </w:r>
          </w:p>
        </w:tc>
        <w:tc>
          <w:tcPr>
            <w:tcW w:w="740"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房屋构筑物</w:t>
            </w:r>
          </w:p>
        </w:tc>
        <w:tc>
          <w:tcPr>
            <w:tcW w:w="739"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车辆</w:t>
            </w:r>
          </w:p>
        </w:tc>
        <w:tc>
          <w:tcPr>
            <w:tcW w:w="822"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单价200万以上大型设备</w:t>
            </w:r>
          </w:p>
        </w:tc>
        <w:tc>
          <w:tcPr>
            <w:tcW w:w="740"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其他固定资产</w:t>
            </w: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3"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89"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39"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39"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22"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3"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栏次</w:t>
            </w:r>
          </w:p>
        </w:tc>
        <w:tc>
          <w:tcPr>
            <w:tcW w:w="489"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2</w:t>
            </w:r>
          </w:p>
        </w:tc>
        <w:tc>
          <w:tcPr>
            <w:tcW w:w="739"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3</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4</w:t>
            </w:r>
          </w:p>
        </w:tc>
        <w:tc>
          <w:tcPr>
            <w:tcW w:w="739"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5</w:t>
            </w:r>
          </w:p>
        </w:tc>
        <w:tc>
          <w:tcPr>
            <w:tcW w:w="82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6</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7</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8</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9</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10</w:t>
            </w:r>
          </w:p>
        </w:tc>
        <w:tc>
          <w:tcPr>
            <w:tcW w:w="74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合计</w:t>
            </w:r>
          </w:p>
        </w:tc>
        <w:tc>
          <w:tcPr>
            <w:tcW w:w="489"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6.46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2.35 </w:t>
            </w:r>
          </w:p>
        </w:tc>
        <w:tc>
          <w:tcPr>
            <w:tcW w:w="739"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739"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82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4.12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74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c>
          <w:tcPr>
            <w:tcW w:w="74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jc w:val="center"/>
        </w:trPr>
        <w:tc>
          <w:tcPr>
            <w:tcW w:w="9439" w:type="dxa"/>
            <w:gridSpan w:val="13"/>
            <w:tcBorders>
              <w:top w:val="single" w:color="auto" w:sz="4" w:space="0"/>
              <w:left w:val="nil"/>
              <w:bottom w:val="nil"/>
              <w:right w:val="nil"/>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leftChars="0" w:right="0" w:rightChars="0"/>
              <w:jc w:val="both"/>
              <w:rPr>
                <w:rFonts w:hint="eastAsia" w:ascii="宋体" w:hAnsi="宋体" w:eastAsia="宋体" w:cs="宋体"/>
                <w:kern w:val="0"/>
                <w:sz w:val="24"/>
                <w:szCs w:val="24"/>
              </w:rPr>
            </w:pPr>
            <w:r>
              <w:rPr>
                <w:rFonts w:hint="eastAsia" w:ascii="宋体" w:hAnsi="宋体" w:eastAsia="宋体" w:cs="宋体"/>
                <w:color w:val="000000"/>
                <w:kern w:val="0"/>
                <w:sz w:val="20"/>
                <w:szCs w:val="20"/>
              </w:rPr>
              <w:t xml:space="preserve">填报说明：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439" w:type="dxa"/>
            <w:gridSpan w:val="13"/>
            <w:tcBorders>
              <w:top w:val="nil"/>
              <w:left w:val="nil"/>
              <w:bottom w:val="nil"/>
              <w:right w:val="nil"/>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leftChars="0" w:right="0" w:rightChars="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1.资产总额＝流动资产＋固定资产＋对外投资／有价证券＋在建工程＋无形资产＋其他资产。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leftChars="0" w:right="0" w:rightChars="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2.固定资产＝房屋构筑物＋车辆＋单价200万元以上大型设备＋其他固定资产。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leftChars="0" w:right="0" w:rightChars="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3.填报金额为资产“账面原值”。</w:t>
            </w:r>
          </w:p>
        </w:tc>
      </w:tr>
    </w:tbl>
    <w:p>
      <w:pPr>
        <w:keepNext w:val="0"/>
        <w:keepLines w:val="0"/>
        <w:widowControl/>
        <w:suppressLineNumbers w:val="0"/>
        <w:topLinePunct/>
        <w:spacing w:before="0" w:beforeAutospacing="0" w:after="0" w:afterAutospacing="0" w:line="590" w:lineRule="atLeas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三、政府采购支出情况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default" w:ascii="Times New Roman" w:hAnsi="Times New Roman" w:eastAsia="宋体" w:cs="Times New Roman"/>
          <w:kern w:val="0"/>
          <w:sz w:val="32"/>
          <w:szCs w:val="32"/>
        </w:rPr>
        <w:t>2</w:t>
      </w:r>
      <w:r>
        <w:rPr>
          <w:rFonts w:hint="eastAsia" w:ascii="仿宋" w:hAnsi="仿宋" w:eastAsia="仿宋" w:cs="仿宋"/>
          <w:b w:val="0"/>
          <w:i w:val="0"/>
          <w:caps w:val="0"/>
          <w:spacing w:val="0"/>
          <w:kern w:val="0"/>
          <w:sz w:val="32"/>
          <w:szCs w:val="32"/>
          <w:shd w:val="clear" w:color="auto" w:fill="FFFFFF"/>
        </w:rPr>
        <w:t>021年度，部门政府采购支出总额0.00万元，其中：政府采购货物支出0.00万元；政府采购工程支出0.00万元；政府采购服务支出0.00万元。授予中小企业合同金额0.00万元，占政府采购支出总额的0.00%。</w:t>
      </w:r>
    </w:p>
    <w:p>
      <w:pPr>
        <w:keepNext w:val="0"/>
        <w:keepLines w:val="0"/>
        <w:widowControl/>
        <w:suppressLineNumbers w:val="0"/>
        <w:topLinePunct/>
        <w:autoSpaceDE w:val="0"/>
        <w:autoSpaceDN/>
        <w:spacing w:before="0" w:beforeAutospacing="0" w:after="0" w:afterAutospacing="0" w:line="590" w:lineRule="exact"/>
        <w:ind w:left="0" w:right="0" w:rightChars="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四、部门绩效自评情况</w:t>
      </w:r>
    </w:p>
    <w:p>
      <w:pPr>
        <w:pStyle w:val="2"/>
        <w:keepNext w:val="0"/>
        <w:keepLines w:val="0"/>
        <w:widowControl/>
        <w:suppressLineNumbers w:val="0"/>
        <w:autoSpaceDE w:val="0"/>
        <w:autoSpaceDN/>
        <w:snapToGrid w:val="0"/>
        <w:spacing w:before="0" w:beforeAutospacing="0" w:after="0" w:afterAutospacing="0" w:line="590" w:lineRule="exact"/>
        <w:ind w:left="0" w:leftChars="0" w:right="0" w:rightChars="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根据澄江市财政局印发的《关于开展2021年度市级部门整体支出和项目支出预算绩效自评工作的通知》，澄江市植保植检站对2021年项目支出进行了绩效自评，共涉及预算项目2个，其中，自评等级为“优”的2个，“良”的0个，“中”的0个，“差”的0个。</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right="0" w:firstLine="640" w:firstLineChars="200"/>
        <w:jc w:val="both"/>
        <w:textAlignment w:val="auto"/>
        <w:rPr>
          <w:rFonts w:hint="eastAsia" w:ascii="宋体" w:hAnsi="宋体" w:eastAsia="宋体" w:cs="宋体"/>
          <w:kern w:val="0"/>
          <w:sz w:val="24"/>
          <w:szCs w:val="24"/>
        </w:rPr>
      </w:pPr>
      <w:r>
        <w:rPr>
          <w:rFonts w:hint="eastAsia" w:ascii="仿宋" w:hAnsi="仿宋" w:eastAsia="仿宋" w:cs="仿宋"/>
          <w:b w:val="0"/>
          <w:i w:val="0"/>
          <w:caps w:val="0"/>
          <w:spacing w:val="0"/>
          <w:kern w:val="0"/>
          <w:sz w:val="32"/>
          <w:szCs w:val="32"/>
          <w:shd w:val="clear" w:color="auto" w:fill="FFFFFF"/>
        </w:rPr>
        <w:t>部门绩效自评情况详见附表（附表10－附表12）</w:t>
      </w:r>
      <w:r>
        <w:rPr>
          <w:rFonts w:hint="eastAsia" w:ascii="方正仿宋_GBK" w:hAnsi="方正仿宋_GBK" w:eastAsia="方正仿宋_GBK" w:cs="方正仿宋_GBK"/>
          <w:kern w:val="0"/>
          <w:sz w:val="32"/>
          <w:szCs w:val="32"/>
        </w:rPr>
        <w:t>。</w:t>
      </w:r>
    </w:p>
    <w:p>
      <w:pPr>
        <w:rPr>
          <w:rFonts w:hint="eastAsia"/>
        </w:rPr>
      </w:pPr>
    </w:p>
    <w:p>
      <w:pPr>
        <w:keepNext w:val="0"/>
        <w:keepLines w:val="0"/>
        <w:widowControl/>
        <w:suppressLineNumbers w:val="0"/>
        <w:topLinePunct/>
        <w:spacing w:before="0" w:beforeAutospacing="0" w:after="0" w:afterAutospacing="0" w:line="590" w:lineRule="atLeast"/>
        <w:ind w:left="0" w:right="0" w:rightChars="0" w:firstLine="640" w:firstLineChars="200"/>
        <w:jc w:val="both"/>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五、其他重要事项情况说明</w:t>
      </w:r>
    </w:p>
    <w:p>
      <w:pPr>
        <w:keepNext w:val="0"/>
        <w:keepLines w:val="0"/>
        <w:widowControl/>
        <w:suppressLineNumbers w:val="0"/>
        <w:topLinePunct/>
        <w:spacing w:before="0" w:beforeAutospacing="0" w:after="0" w:afterAutospacing="0" w:line="590" w:lineRule="atLeast"/>
        <w:ind w:left="0" w:right="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无。</w:t>
      </w:r>
      <w:bookmarkStart w:id="0" w:name="_GoBack"/>
      <w:bookmarkEnd w:id="0"/>
    </w:p>
    <w:p>
      <w:pPr>
        <w:keepNext w:val="0"/>
        <w:keepLines w:val="0"/>
        <w:widowControl/>
        <w:suppressLineNumbers w:val="0"/>
        <w:topLinePunct/>
        <w:autoSpaceDE w:val="0"/>
        <w:autoSpaceDN/>
        <w:spacing w:before="0" w:beforeAutospacing="0" w:after="0" w:afterAutospacing="0" w:line="590" w:lineRule="exact"/>
        <w:ind w:left="0" w:right="0" w:firstLine="640"/>
        <w:jc w:val="both"/>
        <w:rPr>
          <w:rFonts w:hint="eastAsia" w:ascii="黑体" w:hAnsi="宋体" w:eastAsia="黑体" w:cs="黑体"/>
          <w:kern w:val="0"/>
          <w:sz w:val="32"/>
          <w:szCs w:val="32"/>
        </w:rPr>
      </w:pPr>
      <w:r>
        <w:rPr>
          <w:rFonts w:hint="eastAsia" w:ascii="黑体" w:hAnsi="宋体" w:eastAsia="黑体" w:cs="黑体"/>
          <w:kern w:val="0"/>
          <w:sz w:val="32"/>
          <w:szCs w:val="32"/>
        </w:rPr>
        <w:t>六、相关口径说明</w:t>
      </w:r>
    </w:p>
    <w:p>
      <w:pPr>
        <w:keepNext w:val="0"/>
        <w:keepLines w:val="0"/>
        <w:widowControl/>
        <w:suppressLineNumbers w:val="0"/>
        <w:topLinePunct/>
        <w:spacing w:before="0" w:beforeAutospacing="0" w:after="0" w:afterAutospacing="0"/>
        <w:ind w:left="0" w:right="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（一）基本支出中人员经费包括工资福利支出和对个人和家庭的补助，公用经费包括商品和服务支出、资本性支出等人员经费以外的支出。</w:t>
      </w:r>
    </w:p>
    <w:p>
      <w:pPr>
        <w:keepNext w:val="0"/>
        <w:keepLines w:val="0"/>
        <w:widowControl/>
        <w:suppressLineNumbers w:val="0"/>
        <w:topLinePunct/>
        <w:spacing w:before="0" w:beforeAutospacing="0" w:after="0" w:afterAutospacing="0"/>
        <w:ind w:left="0" w:right="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（二）机关运行经费指行政单位和参照公务员法管理的事业单位使用一般公共预算财政拨款安排的基本支出中的公用经费支出。</w:t>
      </w:r>
    </w:p>
    <w:p>
      <w:pPr>
        <w:keepNext w:val="0"/>
        <w:keepLines w:val="0"/>
        <w:widowControl/>
        <w:suppressLineNumbers w:val="0"/>
        <w:topLinePunct/>
        <w:spacing w:before="0" w:beforeAutospacing="0" w:after="0" w:afterAutospacing="0"/>
        <w:ind w:left="0" w:right="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topLinePunct/>
        <w:spacing w:before="0" w:beforeAutospacing="0" w:after="0" w:afterAutospacing="0"/>
        <w:ind w:left="0" w:right="0" w:firstLine="640" w:firstLineChars="200"/>
        <w:jc w:val="both"/>
        <w:rPr>
          <w:rFonts w:hint="eastAsia" w:ascii="仿宋" w:hAnsi="仿宋" w:eastAsia="仿宋" w:cs="仿宋"/>
          <w:b w:val="0"/>
          <w:i w:val="0"/>
          <w:caps w:val="0"/>
          <w:spacing w:val="0"/>
          <w:kern w:val="0"/>
          <w:sz w:val="32"/>
          <w:szCs w:val="32"/>
          <w:shd w:val="clear" w:color="auto" w:fill="FFFFFF"/>
        </w:rPr>
      </w:pPr>
      <w:r>
        <w:rPr>
          <w:rFonts w:hint="eastAsia" w:ascii="仿宋" w:hAnsi="仿宋" w:eastAsia="仿宋" w:cs="仿宋"/>
          <w:b w:val="0"/>
          <w:i w:val="0"/>
          <w:caps w:val="0"/>
          <w:spacing w:val="0"/>
          <w:kern w:val="0"/>
          <w:sz w:val="32"/>
          <w:szCs w:val="32"/>
          <w:shd w:val="clear" w:color="auto"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autoSpaceDE w:val="0"/>
        <w:autoSpaceDN/>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 xml:space="preserve"> </w:t>
      </w:r>
    </w:p>
    <w:p>
      <w:pPr>
        <w:keepNext w:val="0"/>
        <w:keepLines w:val="0"/>
        <w:widowControl/>
        <w:suppressLineNumbers w:val="0"/>
        <w:topLinePunct/>
        <w:autoSpaceDE w:val="0"/>
        <w:autoSpaceDN/>
        <w:spacing w:before="0" w:beforeAutospacing="0" w:after="0" w:afterAutospacing="0" w:line="590" w:lineRule="exact"/>
        <w:ind w:left="0" w:right="0"/>
        <w:jc w:val="center"/>
        <w:rPr>
          <w:rFonts w:hint="eastAsia" w:ascii="黑体" w:hAnsi="宋体" w:eastAsia="黑体" w:cs="黑体"/>
          <w:kern w:val="0"/>
          <w:sz w:val="36"/>
          <w:szCs w:val="36"/>
        </w:rPr>
      </w:pPr>
      <w:r>
        <w:rPr>
          <w:rFonts w:hint="eastAsia" w:ascii="黑体" w:hAnsi="宋体" w:eastAsia="黑体" w:cs="黑体"/>
          <w:kern w:val="0"/>
          <w:sz w:val="36"/>
          <w:szCs w:val="36"/>
        </w:rPr>
        <w:t>第五部分  名词解释</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黑体" w:hAnsi="宋体" w:eastAsia="黑体" w:cs="黑体"/>
          <w:kern w:val="0"/>
          <w:sz w:val="32"/>
          <w:szCs w:val="32"/>
        </w:rPr>
        <w:t>一、政府采购</w:t>
      </w:r>
      <w:r>
        <w:rPr>
          <w:rFonts w:hint="eastAsia" w:ascii="方正黑体_GBK" w:hAnsi="方正黑体_GBK" w:eastAsia="方正黑体_GBK" w:cs="方正黑体_GBK"/>
          <w:kern w:val="0"/>
          <w:sz w:val="32"/>
          <w:szCs w:val="32"/>
        </w:rPr>
        <w:t>：</w:t>
      </w:r>
      <w:r>
        <w:rPr>
          <w:rFonts w:hint="eastAsia" w:ascii="仿宋" w:hAnsi="仿宋" w:eastAsia="仿宋" w:cs="仿宋"/>
          <w:b w:val="0"/>
          <w:i w:val="0"/>
          <w:caps w:val="0"/>
          <w:spacing w:val="0"/>
          <w:kern w:val="0"/>
          <w:sz w:val="32"/>
          <w:szCs w:val="32"/>
          <w:shd w:val="clear" w:color="auto" w:fill="FFFFFF"/>
        </w:rPr>
        <w:t>是指各级国家机关、事业单位和团体组织，使用财政性资金采购依法制定的集中采购目录以内的或者采购限额标准以上的货物、工程和服务的行为。</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黑体" w:hAnsi="宋体" w:eastAsia="黑体" w:cs="黑体"/>
          <w:kern w:val="0"/>
          <w:sz w:val="32"/>
          <w:szCs w:val="32"/>
        </w:rPr>
        <w:t>二、一般公共预算收入</w:t>
      </w:r>
      <w:r>
        <w:rPr>
          <w:rFonts w:hint="eastAsia" w:ascii="方正黑体_GBK" w:hAnsi="方正黑体_GBK" w:eastAsia="方正黑体_GBK" w:cs="方正黑体_GBK"/>
          <w:kern w:val="0"/>
          <w:sz w:val="32"/>
          <w:szCs w:val="32"/>
        </w:rPr>
        <w:t>：</w:t>
      </w:r>
      <w:r>
        <w:rPr>
          <w:rFonts w:hint="eastAsia" w:ascii="仿宋" w:hAnsi="仿宋" w:eastAsia="仿宋" w:cs="仿宋"/>
          <w:b w:val="0"/>
          <w:i w:val="0"/>
          <w:caps w:val="0"/>
          <w:spacing w:val="0"/>
          <w:kern w:val="0"/>
          <w:sz w:val="32"/>
          <w:szCs w:val="32"/>
          <w:shd w:val="clear" w:color="auto" w:fill="FFFFFF"/>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黑体" w:hAnsi="宋体" w:eastAsia="黑体" w:cs="黑体"/>
          <w:kern w:val="0"/>
          <w:sz w:val="32"/>
          <w:szCs w:val="32"/>
        </w:rPr>
        <w:t>三、一般公共预算支出</w:t>
      </w:r>
      <w:r>
        <w:rPr>
          <w:rFonts w:hint="eastAsia" w:ascii="方正黑体_GBK" w:hAnsi="方正黑体_GBK" w:eastAsia="方正黑体_GBK" w:cs="方正黑体_GBK"/>
          <w:kern w:val="0"/>
          <w:sz w:val="32"/>
          <w:szCs w:val="32"/>
        </w:rPr>
        <w:t>：</w:t>
      </w:r>
      <w:r>
        <w:rPr>
          <w:rFonts w:hint="eastAsia" w:ascii="仿宋" w:hAnsi="仿宋" w:eastAsia="仿宋" w:cs="仿宋"/>
          <w:b w:val="0"/>
          <w:i w:val="0"/>
          <w:caps w:val="0"/>
          <w:spacing w:val="0"/>
          <w:kern w:val="0"/>
          <w:sz w:val="32"/>
          <w:szCs w:val="32"/>
          <w:shd w:val="clear" w:color="auto"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 w:hAnsi="仿宋" w:eastAsia="仿宋" w:cs="仿宋"/>
          <w:b w:val="0"/>
          <w:i w:val="0"/>
          <w:caps w:val="0"/>
          <w:spacing w:val="0"/>
          <w:kern w:val="0"/>
          <w:sz w:val="32"/>
          <w:szCs w:val="32"/>
          <w:shd w:val="clear" w:color="auto" w:fill="FFFFFF"/>
        </w:rPr>
      </w:pPr>
      <w:r>
        <w:rPr>
          <w:rFonts w:hint="eastAsia" w:ascii="黑体" w:hAnsi="宋体" w:eastAsia="黑体" w:cs="黑体"/>
          <w:kern w:val="0"/>
          <w:sz w:val="32"/>
          <w:szCs w:val="32"/>
        </w:rPr>
        <w:t>四、“三公”经费</w:t>
      </w:r>
      <w:r>
        <w:rPr>
          <w:rFonts w:hint="eastAsia" w:ascii="方正黑体_GBK" w:hAnsi="方正黑体_GBK" w:eastAsia="方正黑体_GBK" w:cs="方正黑体_GBK"/>
          <w:kern w:val="0"/>
          <w:sz w:val="32"/>
          <w:szCs w:val="32"/>
        </w:rPr>
        <w:t>：</w:t>
      </w:r>
      <w:r>
        <w:rPr>
          <w:rFonts w:hint="eastAsia" w:ascii="仿宋" w:hAnsi="仿宋" w:eastAsia="仿宋" w:cs="仿宋"/>
          <w:b w:val="0"/>
          <w:i w:val="0"/>
          <w:caps w:val="0"/>
          <w:spacing w:val="0"/>
          <w:kern w:val="0"/>
          <w:sz w:val="32"/>
          <w:szCs w:val="32"/>
          <w:shd w:val="clear" w:color="auto" w:fill="FFFFFF"/>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sz w:val="36"/>
        </w:rPr>
      </w:pPr>
      <w:r>
        <w:rPr>
          <w:rFonts w:ascii="Arial" w:hAnsi="Arial" w:eastAsia="Arial" w:cs="Arial"/>
          <w:b/>
          <w:sz w:val="36"/>
        </w:rPr>
        <w:t>监督索引号53042200532602101111</w:t>
      </w:r>
    </w:p>
    <w:sectPr>
      <w:pgSz w:w="11915" w:h="16851"/>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7777C"/>
    <w:multiLevelType w:val="singleLevel"/>
    <w:tmpl w:val="634777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DY5ZDk5MjEyN2VjYzIyZjY4YWJmZTM2MDg2YjQifQ=="/>
  </w:docVars>
  <w:rsids>
    <w:rsidRoot w:val="00000000"/>
    <w:rsid w:val="075453F0"/>
    <w:rsid w:val="15BE6464"/>
    <w:rsid w:val="166B59FB"/>
    <w:rsid w:val="1BAD06D3"/>
    <w:rsid w:val="3F4E3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5">
    <w:name w:val="Default Paragraph Font"/>
    <w:unhideWhenUsed/>
    <w:qFormat/>
    <w:uiPriority w:val="99"/>
  </w:style>
  <w:style w:type="table" w:default="1" w:styleId="14">
    <w:name w:val="Normal Table"/>
    <w:unhideWhenUsed/>
    <w:uiPriority w:val="99"/>
    <w:tblPr>
      <w:tblCellMar>
        <w:top w:w="0" w:type="dxa"/>
        <w:left w:w="108" w:type="dxa"/>
        <w:bottom w:w="0" w:type="dxa"/>
        <w:right w:w="108" w:type="dxa"/>
      </w:tblCellMar>
    </w:tblPr>
  </w:style>
  <w:style w:type="paragraph" w:styleId="2">
    <w:name w:val="Normal Indent"/>
    <w:basedOn w:val="1"/>
    <w:next w:val="1"/>
    <w:uiPriority w:val="0"/>
    <w:pPr>
      <w:snapToGrid w:val="0"/>
      <w:spacing w:before="0" w:beforeAutospacing="0" w:after="0" w:afterAutospacing="0" w:line="300" w:lineRule="auto"/>
      <w:ind w:left="0" w:right="0" w:firstLine="556"/>
      <w:jc w:val="left"/>
    </w:pPr>
    <w:rPr>
      <w:rFonts w:hint="eastAsia" w:ascii="仿宋_GB2312" w:hAnsi="Times New Roman" w:eastAsia="仿宋_GB2312" w:cs="宋体"/>
      <w:kern w:val="0"/>
      <w:sz w:val="24"/>
      <w:szCs w:val="24"/>
      <w:lang w:val="en-US" w:eastAsia="zh-CN" w:bidi="ar"/>
    </w:rPr>
  </w:style>
  <w:style w:type="paragraph" w:styleId="9">
    <w:name w:val="Body Text"/>
    <w:basedOn w:val="1"/>
    <w:qFormat/>
    <w:uiPriority w:val="0"/>
    <w:pPr>
      <w:spacing w:before="93" w:beforeLines="30" w:beforeAutospacing="0" w:after="0" w:afterAutospacing="0"/>
      <w:ind w:left="0" w:right="0"/>
      <w:jc w:val="left"/>
    </w:pPr>
    <w:rPr>
      <w:rFonts w:hint="eastAsia" w:ascii="仿宋_GB2312" w:hAnsi="宋体" w:eastAsia="仿宋_GB2312" w:cs="宋体"/>
      <w:kern w:val="0"/>
      <w:sz w:val="30"/>
      <w:szCs w:val="30"/>
      <w:lang w:val="en-US" w:eastAsia="zh-CN" w:bidi="ar"/>
    </w:rPr>
  </w:style>
  <w:style w:type="paragraph" w:styleId="10">
    <w:name w:val="Body Text Indent"/>
    <w:basedOn w:val="1"/>
    <w:qFormat/>
    <w:uiPriority w:val="0"/>
    <w:pPr>
      <w:spacing w:before="0" w:beforeAutospacing="0" w:after="0" w:afterAutospacing="0" w:line="240" w:lineRule="atLeast"/>
      <w:ind w:left="0" w:right="0" w:firstLine="640" w:firstLineChars="200"/>
      <w:jc w:val="left"/>
    </w:pPr>
    <w:rPr>
      <w:rFonts w:hint="eastAsia" w:ascii="宋体" w:hAnsi="宋体" w:eastAsia="宋体" w:cs="宋体"/>
      <w:kern w:val="0"/>
      <w:sz w:val="32"/>
      <w:szCs w:val="32"/>
      <w:lang w:val="en-US" w:eastAsia="zh-CN" w:bidi="ar"/>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3">
    <w:name w:val="Body Text First Indent 2"/>
    <w:basedOn w:val="10"/>
    <w:next w:val="1"/>
    <w:qFormat/>
    <w:uiPriority w:val="0"/>
    <w:pPr>
      <w:spacing w:before="0" w:beforeAutospacing="0" w:after="0" w:afterAutospacing="0" w:line="240" w:lineRule="atLeast"/>
      <w:ind w:left="0" w:right="0" w:firstLine="420" w:firstLineChars="200"/>
      <w:jc w:val="left"/>
    </w:pPr>
    <w:rPr>
      <w:rFonts w:hint="eastAsia" w:ascii="宋体" w:hAnsi="宋体" w:eastAsia="宋体" w:cs="宋体"/>
      <w:kern w:val="0"/>
      <w:sz w:val="32"/>
      <w:szCs w:val="32"/>
      <w:lang w:val="en-US" w:eastAsia="zh-CN" w:bidi="ar"/>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9">
    <w:name w:val="10"/>
    <w:basedOn w:val="15"/>
    <w:qFormat/>
    <w:uiPriority w:val="0"/>
    <w:rPr>
      <w:rFonts w:hint="default" w:ascii="Times New Roman" w:hAnsi="Times New Roman" w:cs="Times New Roman"/>
    </w:rPr>
  </w:style>
  <w:style w:type="character" w:customStyle="1" w:styleId="20">
    <w:name w:val="20"/>
    <w:basedOn w:val="15"/>
    <w:qFormat/>
    <w:uiPriority w:val="0"/>
    <w:rPr>
      <w:rFonts w:hint="default" w:ascii="Times New Roman" w:hAnsi="Times New Roman" w:cs="Times New Roman"/>
    </w:rPr>
  </w:style>
  <w:style w:type="character" w:customStyle="1" w:styleId="21">
    <w:name w:val="19"/>
    <w:basedOn w:val="15"/>
    <w:qFormat/>
    <w:uiPriority w:val="0"/>
    <w:rPr>
      <w:rFonts w:hint="default" w:ascii="Times New Roman" w:hAnsi="Times New Roman" w:cs="Times New Roman"/>
    </w:rPr>
  </w:style>
  <w:style w:type="character" w:customStyle="1" w:styleId="22">
    <w:name w:val="15"/>
    <w:basedOn w:val="15"/>
    <w:qFormat/>
    <w:uiPriority w:val="0"/>
    <w:rPr>
      <w:rFonts w:hint="default" w:ascii="Times New Roman" w:hAnsi="Times New Roman" w:cs="Times New Roman"/>
    </w:rPr>
  </w:style>
  <w:style w:type="character" w:customStyle="1" w:styleId="23">
    <w:name w:val="16"/>
    <w:basedOn w:val="15"/>
    <w:qFormat/>
    <w:uiPriority w:val="0"/>
    <w:rPr>
      <w:rFonts w:hint="default" w:ascii="Times New Roman" w:hAnsi="Times New Roman" w:cs="Times New Roman"/>
    </w:rPr>
  </w:style>
  <w:style w:type="character" w:customStyle="1" w:styleId="24">
    <w:name w:val="17"/>
    <w:basedOn w:val="15"/>
    <w:qFormat/>
    <w:uiPriority w:val="0"/>
    <w:rPr>
      <w:rFonts w:hint="default" w:ascii="Times New Roman" w:hAnsi="Times New Roman" w:cs="Times New Roman"/>
    </w:rPr>
  </w:style>
  <w:style w:type="character" w:customStyle="1" w:styleId="25">
    <w:name w:val="18"/>
    <w:basedOn w:val="15"/>
    <w:qFormat/>
    <w:uiPriority w:val="0"/>
    <w:rPr>
      <w:rFonts w:hint="default" w:ascii="Times New Roman" w:hAnsi="Times New Roman" w:cs="Times New Roman"/>
    </w:rPr>
  </w:style>
  <w:style w:type="character" w:customStyle="1" w:styleId="26">
    <w:name w:val="21"/>
    <w:basedOn w:val="15"/>
    <w:qFormat/>
    <w:uiPriority w:val="0"/>
    <w:rPr>
      <w:rFonts w:hint="default" w:ascii="Times New Roman" w:hAnsi="Times New Roman" w:cs="Times New Roman"/>
    </w:rPr>
  </w:style>
  <w:style w:type="character" w:customStyle="1" w:styleId="27">
    <w:name w:val="22"/>
    <w:basedOn w:val="15"/>
    <w:qFormat/>
    <w:uiPriority w:val="0"/>
    <w:rPr>
      <w:rFonts w:hint="default" w:ascii="Times New Roman" w:hAnsi="Times New Roman" w:cs="Times New Roman"/>
    </w:rPr>
  </w:style>
  <w:style w:type="character" w:customStyle="1" w:styleId="28">
    <w:name w:val="23"/>
    <w:basedOn w:val="15"/>
    <w:qFormat/>
    <w:uiPriority w:val="0"/>
    <w:rPr>
      <w:rFonts w:hint="default" w:ascii="Times New Roman" w:hAnsi="Times New Roman" w:cs="Times New Roman"/>
    </w:rPr>
  </w:style>
  <w:style w:type="character" w:customStyle="1" w:styleId="29">
    <w:name w:val="24"/>
    <w:basedOn w:val="15"/>
    <w:qFormat/>
    <w:uiPriority w:val="0"/>
    <w:rPr>
      <w:rFonts w:hint="default" w:ascii="Times New Roman" w:hAnsi="Times New Roman" w:cs="Times New Roman"/>
    </w:rPr>
  </w:style>
  <w:style w:type="paragraph" w:customStyle="1" w:styleId="30">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HTML 预设格式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2">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3">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4">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6621</Words>
  <Characters>7674</Characters>
  <Lines>0</Lines>
  <Paragraphs>0</Paragraphs>
  <TotalTime>0</TotalTime>
  <ScaleCrop>false</ScaleCrop>
  <LinksUpToDate>false</LinksUpToDate>
  <CharactersWithSpaces>7714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2022-10-13T02:19:00Z</dcterms:created>
  <dc:creator>Administrator</dc:creator>
  <cp:lastModifiedBy>WPS_1620440915</cp:lastModifiedBy>
  <dcterms:modified xsi:type="dcterms:W3CDTF">2022-10-13T09:53:53Z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BEE1251B1C734874BD7CD5A2E16FBB28</vt:lpwstr>
  </property>
</Properties>
</file>