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监督索引号53042200436100901000</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left="0" w:right="0"/>
        <w:jc w:val="center"/>
        <w:rPr>
          <w:rFonts w:ascii="方正小标宋_GBK" w:eastAsia="方正小标宋_GBK" w:hAnsi="方正小标宋_GBK" w:cs="方正小标宋_GBK" w:hint="eastAsia"/>
          <w:kern w:val="0"/>
          <w:sz w:val="44"/>
          <w:szCs w:val="44"/>
          <w:lang w:bidi="ar"/>
        </w:rPr>
      </w:pPr>
      <w:r>
        <w:rPr>
          <w:rFonts w:ascii="方正小标宋_GBK" w:eastAsia="方正小标宋_GBK" w:hAnsi="方正小标宋_GBK" w:cs="方正小标宋_GBK" w:hint="eastAsia"/>
          <w:kern w:val="0"/>
          <w:sz w:val="44"/>
          <w:szCs w:val="44"/>
          <w:lang w:val="en-US" w:eastAsia="zh-CN" w:bidi="ar"/>
        </w:rPr>
        <w:t>澄江市卫生健康局卫生监督局2021年度部门决算</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jc w:val="center"/>
        <w:rPr>
          <w:rFonts w:ascii="宋体" w:eastAsia="宋体" w:hAnsi="宋体" w:cs="宋体" w:hint="eastAsia"/>
          <w:kern w:val="0"/>
          <w:sz w:val="24"/>
          <w:szCs w:val="24"/>
        </w:rPr>
      </w:pPr>
      <w:r>
        <w:rPr>
          <w:rFonts w:ascii="Times New Roman" w:eastAsia="宋体" w:hAnsi="Times New Roman" w:cs="Times New Roman" w:hint="default"/>
          <w:kern w:val="0"/>
          <w:sz w:val="36"/>
          <w:szCs w:val="36"/>
          <w:lang w:val="en-US" w:eastAsia="zh-CN" w:bidi="ar"/>
        </w:rPr>
        <w:t xml:space="preserve"> </w:t>
      </w:r>
    </w:p>
    <w:p>
      <w:pPr>
        <w:keepNext w:val="0"/>
        <w:keepLines w:val="0"/>
        <w:pageBreakBefore w:val="0"/>
        <w:widowControl/>
        <w:suppressLineNumbers w:val="0"/>
        <w:kinsoku/>
        <w:wordWrap/>
        <w:overflowPunct/>
        <w:topLinePunct/>
        <w:autoSpaceDE w:val="0"/>
        <w:autoSpaceDN w:val="0"/>
        <w:bidi w:val="0"/>
        <w:spacing w:before="0" w:beforeAutospacing="0" w:after="0" w:afterAutospacing="0" w:line="590" w:lineRule="exact"/>
        <w:ind w:left="0" w:right="0"/>
        <w:jc w:val="center"/>
        <w:rPr>
          <w:rFonts w:ascii="方正小标宋简体" w:eastAsia="方正小标宋简体" w:hAnsi="方正小标宋简体" w:cs="方正小标宋简体" w:hint="eastAsia"/>
          <w:kern w:val="0"/>
          <w:sz w:val="36"/>
          <w:szCs w:val="36"/>
          <w:lang w:bidi="ar"/>
        </w:rPr>
      </w:pPr>
      <w:r>
        <w:rPr>
          <w:rFonts w:ascii="方正小标宋简体" w:eastAsia="方正小标宋简体" w:hAnsi="方正小标宋简体" w:cs="方正小标宋简体" w:hint="eastAsia"/>
          <w:kern w:val="0"/>
          <w:sz w:val="36"/>
          <w:szCs w:val="36"/>
          <w:lang w:val="en-US" w:eastAsia="zh-CN" w:bidi="ar"/>
        </w:rPr>
        <w:t>目  录</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宋体" w:eastAsia="宋体" w:hAnsi="宋体" w:cs="宋体" w:hint="eastAsia"/>
          <w:kern w:val="0"/>
          <w:sz w:val="24"/>
          <w:szCs w:val="24"/>
        </w:rPr>
      </w:pPr>
      <w:r>
        <w:rPr>
          <w:rFonts w:ascii="Times New Roman" w:eastAsia="宋体" w:hAnsi="Times New Roman" w:cs="Times New Roman" w:hint="default"/>
          <w:kern w:val="0"/>
          <w:sz w:val="32"/>
          <w:szCs w:val="32"/>
          <w:lang w:val="en-US" w:eastAsia="zh-CN" w:bidi="ar"/>
        </w:rPr>
        <w:t xml:space="preserve"> </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0" w:firstLineChars="200"/>
        <w:jc w:val="both"/>
        <w:textAlignment w:val="auto"/>
        <w:rPr>
          <w:rFonts w:ascii="黑体" w:eastAsia="黑体" w:hAnsi="黑体" w:cs="黑体" w:hint="eastAsia"/>
          <w:kern w:val="0"/>
          <w:sz w:val="32"/>
          <w:szCs w:val="32"/>
          <w:lang w:bidi="ar"/>
        </w:rPr>
      </w:pPr>
      <w:r>
        <w:rPr>
          <w:rFonts w:ascii="黑体" w:eastAsia="黑体" w:hAnsi="黑体" w:cs="黑体" w:hint="eastAsia"/>
          <w:kern w:val="0"/>
          <w:sz w:val="32"/>
          <w:szCs w:val="32"/>
          <w:lang w:val="en-US" w:eastAsia="zh-CN" w:bidi="ar"/>
        </w:rPr>
        <w:t>第一部分  澄江市卫生健康局卫生监督局概况</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一、主要职能</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二、部门基本情况</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黑体" w:eastAsia="黑体" w:hAnsi="宋体" w:cs="黑体" w:hint="eastAsia"/>
          <w:kern w:val="0"/>
          <w:sz w:val="24"/>
          <w:szCs w:val="24"/>
        </w:rPr>
      </w:pPr>
      <w:r>
        <w:rPr>
          <w:rFonts w:ascii="黑体" w:eastAsia="黑体" w:hAnsi="宋体" w:cs="黑体" w:hint="eastAsia"/>
          <w:kern w:val="0"/>
          <w:sz w:val="32"/>
          <w:szCs w:val="32"/>
          <w:lang w:val="en-US" w:eastAsia="zh-CN" w:bidi="ar"/>
        </w:rPr>
        <w:t>第二部分  2021年度部门决算表</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一、收入支出决算总表</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二、收入决算表</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三、支出决算表</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四、财政拨款收入支出决算总表</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五、一般公共预算财政拨款收入支出决算表</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六、一般公共预算财政拨款基本支出决算表</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七、政府性基金预算财政拨款收入支出决算表</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八、国有资本经营预算财政拨款收入支出决算表</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九、“三公”经费、行政参公单位机关运行经费情况表</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黑体" w:eastAsia="黑体" w:hAnsi="宋体" w:cs="黑体" w:hint="eastAsia"/>
          <w:kern w:val="0"/>
          <w:sz w:val="32"/>
          <w:szCs w:val="32"/>
        </w:rPr>
      </w:pPr>
      <w:r>
        <w:rPr>
          <w:rFonts w:ascii="黑体" w:eastAsia="黑体" w:hAnsi="宋体" w:cs="黑体" w:hint="eastAsia"/>
          <w:kern w:val="0"/>
          <w:sz w:val="32"/>
          <w:szCs w:val="32"/>
          <w:lang w:val="en-US" w:eastAsia="zh-CN" w:bidi="ar"/>
        </w:rPr>
        <w:t>第三部分  2021年度部门决算情况说明</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一、收入决算情况说明</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二、支出决算情况说明</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三、一般公共预算财政拨款支出决算情况说明</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宋体" w:eastAsia="宋体" w:hAnsi="宋体" w:cs="宋体" w:hint="eastAsia"/>
          <w:kern w:val="0"/>
          <w:sz w:val="24"/>
          <w:szCs w:val="24"/>
        </w:rPr>
      </w:pPr>
      <w:r>
        <w:rPr>
          <w:rFonts w:ascii="楷体" w:eastAsia="楷体" w:hAnsi="楷体" w:cs="楷体" w:hint="eastAsia"/>
          <w:kern w:val="0"/>
          <w:sz w:val="32"/>
          <w:szCs w:val="32"/>
          <w:lang w:val="en-US" w:eastAsia="zh-CN" w:bidi="ar"/>
        </w:rPr>
        <w:t>四、一般公共预算财政拨款“三公”经费支出决算情况说明</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黑体" w:eastAsia="黑体" w:hAnsi="宋体" w:cs="黑体" w:hint="eastAsia"/>
          <w:kern w:val="0"/>
          <w:sz w:val="32"/>
          <w:szCs w:val="32"/>
        </w:rPr>
      </w:pPr>
      <w:r>
        <w:rPr>
          <w:rFonts w:ascii="黑体" w:eastAsia="黑体" w:hAnsi="宋体" w:cs="黑体" w:hint="eastAsia"/>
          <w:kern w:val="0"/>
          <w:sz w:val="32"/>
          <w:szCs w:val="32"/>
          <w:lang w:val="en-US" w:eastAsia="zh-CN" w:bidi="ar"/>
        </w:rPr>
        <w:t>第四部分  其他重要事项及相关口径情况说明</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一、机关运行经费支出情况</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二、国有资产占用情况</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三、政府采购支出情况</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四、部门绩效自评情况</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（一）部门整体支出绩效自评情况</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（二）部门整体支出绩效自评表</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（三）项目支出绩效自评表</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宋体" w:eastAsia="宋体" w:hAnsi="宋体" w:cs="宋体" w:hint="eastAsia"/>
          <w:kern w:val="0"/>
          <w:sz w:val="24"/>
          <w:szCs w:val="24"/>
        </w:rPr>
      </w:pPr>
      <w:r>
        <w:rPr>
          <w:rFonts w:ascii="楷体" w:eastAsia="楷体" w:hAnsi="楷体" w:cs="楷体" w:hint="eastAsia"/>
          <w:kern w:val="0"/>
          <w:sz w:val="32"/>
          <w:szCs w:val="32"/>
          <w:lang w:val="en-US" w:eastAsia="zh-CN" w:bidi="ar"/>
        </w:rPr>
        <w:t>五、其他重要事项情况说明</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黑体" w:eastAsia="黑体" w:hAnsi="宋体" w:cs="黑体" w:hint="eastAsia"/>
          <w:kern w:val="0"/>
          <w:sz w:val="32"/>
          <w:szCs w:val="32"/>
        </w:rPr>
      </w:pPr>
      <w:r>
        <w:rPr>
          <w:rFonts w:ascii="黑体" w:eastAsia="黑体" w:hAnsi="宋体" w:cs="黑体" w:hint="eastAsia"/>
          <w:kern w:val="0"/>
          <w:sz w:val="32"/>
          <w:szCs w:val="32"/>
          <w:lang w:val="en-US" w:eastAsia="zh-CN" w:bidi="ar"/>
        </w:rPr>
        <w:t>第五部分  名词解释</w:t>
      </w:r>
    </w:p>
    <w:p>
      <w:pPr>
        <w:keepNext w:val="0"/>
        <w:keepLines w:val="0"/>
        <w:pageBreakBefore w:val="0"/>
        <w:widowControl/>
        <w:suppressLineNumbers w:val="0"/>
        <w:kinsoku/>
        <w:wordWrap/>
        <w:overflowPunct/>
        <w:topLinePunct/>
        <w:autoSpaceDE/>
        <w:autoSpaceDN/>
        <w:bidi w:val="0"/>
        <w:adjustRightInd/>
        <w:snapToGrid w:val="0"/>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Times New Roman" w:eastAsia="宋体" w:hAnsi="Times New Roman" w:cs="Times New Roman" w:hint="default"/>
          <w:kern w:val="0"/>
          <w:sz w:val="32"/>
          <w:szCs w:val="32"/>
          <w:lang w:val="en-US" w:eastAsia="zh-CN" w:bidi="ar"/>
        </w:rPr>
        <w:br w:type="page"/>
      </w:r>
      <w:r>
        <w:rPr>
          <w:rFonts w:ascii="黑体" w:eastAsia="黑体" w:hAnsi="黑体" w:cs="黑体" w:hint="eastAsia"/>
          <w:kern w:val="0"/>
          <w:sz w:val="36"/>
          <w:szCs w:val="36"/>
          <w:lang w:val="en-US" w:eastAsia="zh-CN" w:bidi="ar"/>
        </w:rPr>
        <w:t>第一部分  澄江市卫生健康局卫生监督局概况</w:t>
      </w:r>
    </w:p>
    <w:p>
      <w:pPr>
        <w:keepNext w:val="0"/>
        <w:keepLines w:val="0"/>
        <w:pageBreakBefore w:val="0"/>
        <w:widowControl/>
        <w:suppressLineNumbers w:val="0"/>
        <w:kinsoku/>
        <w:wordWrap/>
        <w:overflowPunct/>
        <w:topLinePunct/>
        <w:autoSpaceDE/>
        <w:autoSpaceDN/>
        <w:bidi w:val="0"/>
        <w:adjustRightInd/>
        <w:snapToGrid w:val="0"/>
        <w:spacing w:before="0" w:beforeAutospacing="0" w:after="0" w:afterAutospacing="0" w:line="590" w:lineRule="exact"/>
        <w:ind w:left="0" w:right="0" w:firstLine="641"/>
        <w:jc w:val="both"/>
        <w:textAlignment w:val="auto"/>
        <w:rPr>
          <w:rFonts w:ascii="黑体" w:eastAsia="黑体" w:hAnsi="宋体" w:cs="黑体" w:hint="eastAsia"/>
          <w:kern w:val="0"/>
          <w:sz w:val="32"/>
          <w:szCs w:val="32"/>
        </w:rPr>
      </w:pPr>
      <w:r>
        <w:rPr>
          <w:rFonts w:ascii="黑体" w:eastAsia="黑体" w:hAnsi="宋体" w:cs="黑体" w:hint="eastAsia"/>
          <w:kern w:val="0"/>
          <w:sz w:val="32"/>
          <w:szCs w:val="32"/>
          <w:lang w:val="en-US" w:eastAsia="zh-CN" w:bidi="ar"/>
        </w:rPr>
        <w:t>一、主要职能</w:t>
      </w:r>
    </w:p>
    <w:p>
      <w:pPr>
        <w:keepNext w:val="0"/>
        <w:keepLines w:val="0"/>
        <w:pageBreakBefore w:val="0"/>
        <w:widowControl/>
        <w:suppressLineNumbers w:val="0"/>
        <w:kinsoku/>
        <w:wordWrap/>
        <w:overflowPunct/>
        <w:topLinePunct/>
        <w:autoSpaceDE/>
        <w:autoSpaceDN/>
        <w:bidi w:val="0"/>
        <w:adjustRightInd/>
        <w:snapToGrid w:val="0"/>
        <w:spacing w:before="0" w:beforeAutospacing="0" w:after="0" w:afterAutospacing="0" w:line="590" w:lineRule="exact"/>
        <w:ind w:left="0" w:right="0" w:firstLine="641"/>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（一）主要职能</w:t>
      </w:r>
    </w:p>
    <w:p>
      <w:pPr>
        <w:keepNext w:val="0"/>
        <w:keepLines w:val="0"/>
        <w:pageBreakBefore w:val="0"/>
        <w:widowControl w:val="0"/>
        <w:suppressLineNumbers w:val="0"/>
        <w:kinsoku/>
        <w:wordWrap/>
        <w:overflowPunct/>
        <w:topLinePunct/>
        <w:autoSpaceDE w:val="0"/>
        <w:autoSpaceDN/>
        <w:bidi w:val="0"/>
        <w:adjustRightInd/>
        <w:snapToGrid w:val="0"/>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参照政府批准的“三定”方案。依照国家法律、法规受卫生行政部门的委托行使卫生健康局监督执法职责；负责实施公共场所卫生、学校卫生、生活饮用水卫生、职业卫生、医疗卫生等日常卫生监管职责，开展经常性的卫生监督检查，受理违法行为的投诉举报，参与突发公共卫生事件调查的处理，查处卫生违法案件。</w:t>
      </w:r>
    </w:p>
    <w:p>
      <w:pPr>
        <w:keepNext w:val="0"/>
        <w:keepLines w:val="0"/>
        <w:pageBreakBefore w:val="0"/>
        <w:widowControl/>
        <w:suppressLineNumbers w:val="0"/>
        <w:kinsoku/>
        <w:wordWrap/>
        <w:overflowPunct/>
        <w:topLinePunct/>
        <w:autoSpaceDN/>
        <w:bidi w:val="0"/>
        <w:adjustRightInd/>
        <w:snapToGrid w:val="0"/>
        <w:spacing w:before="0" w:beforeAutospacing="0" w:after="0" w:afterAutospacing="0" w:line="590" w:lineRule="exact"/>
        <w:ind w:left="0" w:right="0" w:firstLine="64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（二）2021年度重点工作任务介绍</w:t>
      </w:r>
    </w:p>
    <w:p>
      <w:pPr>
        <w:keepNext w:val="0"/>
        <w:keepLines w:val="0"/>
        <w:pageBreakBefore w:val="0"/>
        <w:widowControl w:val="0"/>
        <w:suppressLineNumbers w:val="0"/>
        <w:kinsoku/>
        <w:wordWrap/>
        <w:overflowPunct/>
        <w:topLinePunct/>
        <w:autoSpaceDE w:val="0"/>
        <w:autoSpaceDN/>
        <w:bidi w:val="0"/>
        <w:adjustRightInd/>
        <w:snapToGrid w:val="0"/>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2021年度工作目标及执行情况：依法开展维护群众健康权益为保障推进依法行政的要求，开展“双随机”一公开，做好年度内传染病防治、医疗卫生、公共场所、饮用水卫生、放射卫生、职业卫生的卫生监督执法抽检工作，并按照上级要求，按时完成监督抽检的统筹协调、数据汇总、结果上报工作。各科室应严格按照依法监管原则，严格执行卫生健康有关法律法规，规范事中事后监管，落实监管责任，确保事中事后监管依法有序进。</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黑体" w:eastAsia="黑体" w:hAnsi="宋体" w:cs="黑体" w:hint="eastAsia"/>
          <w:kern w:val="0"/>
          <w:sz w:val="24"/>
          <w:szCs w:val="24"/>
        </w:rPr>
      </w:pPr>
      <w:r>
        <w:rPr>
          <w:rFonts w:ascii="黑体" w:eastAsia="黑体" w:hAnsi="宋体" w:cs="黑体" w:hint="eastAsia"/>
          <w:kern w:val="0"/>
          <w:sz w:val="32"/>
          <w:szCs w:val="32"/>
          <w:lang w:val="en-US" w:eastAsia="zh-CN" w:bidi="ar"/>
        </w:rPr>
        <w:t>二、部门基本情况</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24"/>
          <w:szCs w:val="24"/>
        </w:rPr>
      </w:pPr>
      <w:r>
        <w:rPr>
          <w:rFonts w:ascii="楷体" w:eastAsia="楷体" w:hAnsi="楷体" w:cs="楷体" w:hint="eastAsia"/>
          <w:kern w:val="0"/>
          <w:sz w:val="32"/>
          <w:szCs w:val="32"/>
          <w:lang w:val="en-US" w:eastAsia="zh-CN" w:bidi="ar"/>
        </w:rPr>
        <w:t>（一）部门决算单位构成</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纳入澄江市卫生健康局卫生监督局2021年度部门决算编报的单位共1个。其中：行政单位0个，参照公务员法管理的事业单位1个，其他事业单位0个。分别是：澄江市卫生健康局卫生监督局。</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（二）部门人员和车辆的编制及实有情况</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澄江市卫生健康局卫生监督局2021年末实有人员编制15人。其中：行政编制0人（含行政工勤编制0人），事业编制15人（含参公管理事业编制15人）；在职在编实有行政人员0人（含行政工勤人员0人），事业人员9人（含参公管理事业人员9人）。</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离退休人员5人。其中：离休0人，退休5人。</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实有车辆编制0辆，在编实有车辆0辆。</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jc w:val="center"/>
        <w:rPr>
          <w:rFonts w:ascii="宋体" w:eastAsia="宋体" w:hAnsi="宋体" w:cs="宋体" w:hint="eastAsia"/>
          <w:kern w:val="0"/>
          <w:sz w:val="24"/>
          <w:szCs w:val="24"/>
        </w:rPr>
      </w:pPr>
      <w:r>
        <w:rPr>
          <w:rFonts w:ascii="Times New Roman" w:eastAsia="宋体" w:hAnsi="Times New Roman" w:cs="Times New Roman" w:hint="default"/>
          <w:kern w:val="0"/>
          <w:sz w:val="32"/>
          <w:szCs w:val="32"/>
          <w:lang w:val="en-US" w:eastAsia="zh-CN" w:bidi="ar"/>
        </w:rPr>
        <w:t xml:space="preserve"> </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jc w:val="center"/>
        <w:rPr>
          <w:rFonts w:ascii="黑体" w:eastAsia="黑体" w:hAnsi="宋体" w:cs="黑体" w:hint="eastAsia"/>
          <w:kern w:val="0"/>
          <w:sz w:val="36"/>
          <w:szCs w:val="36"/>
        </w:rPr>
      </w:pPr>
      <w:r>
        <w:rPr>
          <w:rFonts w:ascii="黑体" w:eastAsia="黑体" w:hAnsi="宋体" w:cs="黑体" w:hint="eastAsia"/>
          <w:kern w:val="0"/>
          <w:sz w:val="36"/>
          <w:szCs w:val="36"/>
          <w:lang w:val="en-US" w:eastAsia="zh-CN" w:bidi="ar"/>
        </w:rPr>
        <w:t>第二部分  2021年度部门决算表</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center"/>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（详见附件）</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澄江市卫生健康局卫生监督局没有政府性基金收入，也没有使用政府性基金安排的支出，故《政府性基金预算财政拨款收入支出决算表》无数据。</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澄江市卫生健康局卫生监督局没有国有资本经营收入，也没有使用国有资本经营安排的支出，故《国有资本经营预算财政拨款收入支出决算表》无数据。</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 xml:space="preserve"> </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jc w:val="center"/>
        <w:rPr>
          <w:rFonts w:ascii="黑体" w:eastAsia="黑体" w:hAnsi="宋体" w:cs="黑体" w:hint="eastAsia"/>
          <w:kern w:val="0"/>
          <w:sz w:val="36"/>
          <w:szCs w:val="36"/>
        </w:rPr>
      </w:pPr>
      <w:r>
        <w:rPr>
          <w:rFonts w:ascii="黑体" w:eastAsia="黑体" w:hAnsi="宋体" w:cs="黑体" w:hint="eastAsia"/>
          <w:kern w:val="0"/>
          <w:sz w:val="36"/>
          <w:szCs w:val="36"/>
          <w:lang w:val="en-US" w:eastAsia="zh-CN" w:bidi="ar"/>
        </w:rPr>
        <w:t>第三部分  2021年度部门决算情况说明</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黑体" w:eastAsia="黑体" w:hAnsi="宋体" w:cs="黑体" w:hint="eastAsia"/>
          <w:kern w:val="0"/>
          <w:sz w:val="32"/>
          <w:szCs w:val="32"/>
        </w:rPr>
      </w:pPr>
      <w:r>
        <w:rPr>
          <w:rFonts w:ascii="黑体" w:eastAsia="黑体" w:hAnsi="宋体" w:cs="黑体" w:hint="eastAsia"/>
          <w:kern w:val="0"/>
          <w:sz w:val="32"/>
          <w:szCs w:val="32"/>
          <w:lang w:val="en-US" w:eastAsia="zh-CN" w:bidi="ar"/>
        </w:rPr>
        <w:t>一、收入决算情况说明</w:t>
      </w:r>
    </w:p>
    <w:p>
      <w:pPr>
        <w:pStyle w:val="pMsoNormal"/>
        <w:keepNext w:val="0"/>
        <w:keepLines w:val="0"/>
        <w:pageBreakBefore w:val="0"/>
        <w:widowControl/>
        <w:kinsoku/>
        <w:wordWrap/>
        <w:overflowPunct/>
        <w:topLinePunct w:val="0"/>
        <w:autoSpaceDE/>
        <w:autoSpaceDN/>
        <w:bidi w:val="0"/>
        <w:adjustRightInd/>
        <w:snapToGrid w:val="0"/>
        <w:spacing w:before="100" w:beforeAutospacing="0" w:after="100" w:afterAutospacing="0" w:line="590" w:lineRule="exact"/>
        <w:ind w:left="0" w:right="0" w:firstLine="601"/>
        <w:jc w:val="both"/>
        <w:textAlignment w:val="auto"/>
        <w:rPr>
          <w:rFonts w:ascii="仿宋" w:eastAsia="仿宋" w:hAnsi="仿宋" w:cs="仿宋" w:hint="eastAsia"/>
          <w:kern w:val="0"/>
          <w:sz w:val="32"/>
          <w:szCs w:val="32"/>
          <w:shd w:val="clear" w:color="auto" w:fill="FFFFFF"/>
        </w:rPr>
      </w:pPr>
      <w:r>
        <w:rPr>
          <w:rFonts w:ascii="仿宋" w:eastAsia="仿宋" w:hAnsi="仿宋" w:cs="仿宋" w:hint="eastAsia"/>
          <w:kern w:val="0"/>
          <w:sz w:val="32"/>
          <w:szCs w:val="32"/>
        </w:rPr>
        <w:t>澄江市卫生健康局卫生监督局2021年度收入合计283.47万元。其中：财政拨款收入283.47万元，占总收入的100.00%；上级补助收入0.00万元，占总收入的0.00%；事业收入0.00万元（含教育收费0.00万元），占总收入的0.00%；经营收入0.00万元，占总收入的0.00%；附属单位缴款收入0.00万元，占总收入的0.00%；其他收入0.00万元，占总收入的0.00%。</w:t>
      </w:r>
      <w:r>
        <w:rPr>
          <w:rFonts w:ascii="仿宋" w:eastAsia="仿宋" w:hAnsi="仿宋" w:cs="仿宋" w:hint="eastAsia"/>
          <w:kern w:val="0"/>
          <w:sz w:val="32"/>
          <w:szCs w:val="32"/>
          <w:shd w:val="clear" w:color="auto" w:fill="FFFFFF"/>
        </w:rPr>
        <w:t>与上年对比，财政拨款收入增加50.98万元，增长17.98%，其他收入减少35.77万元，下降100.00%。财政拨款收入增加主要原因是基本公共卫生服务项目资金增加。其他收入减少主要原因是由于基本公共卫生服务资金等其他收入减少。</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黑体" w:eastAsia="黑体" w:hAnsi="宋体" w:cs="黑体" w:hint="eastAsia"/>
          <w:kern w:val="0"/>
          <w:sz w:val="32"/>
          <w:szCs w:val="32"/>
        </w:rPr>
      </w:pPr>
      <w:r>
        <w:rPr>
          <w:rFonts w:ascii="黑体" w:eastAsia="黑体" w:hAnsi="宋体" w:cs="黑体" w:hint="eastAsia"/>
          <w:kern w:val="0"/>
          <w:sz w:val="32"/>
          <w:szCs w:val="32"/>
          <w:lang w:val="en-US" w:eastAsia="zh-CN" w:bidi="ar"/>
        </w:rPr>
        <w:t>二、支出决算情况说明</w:t>
      </w:r>
    </w:p>
    <w:p>
      <w:pPr>
        <w:pStyle w:val="pMsoNormal"/>
        <w:keepNext w:val="0"/>
        <w:keepLines w:val="0"/>
        <w:pageBreakBefore w:val="0"/>
        <w:widowControl/>
        <w:kinsoku/>
        <w:wordWrap/>
        <w:overflowPunct/>
        <w:topLinePunct w:val="0"/>
        <w:autoSpaceDE/>
        <w:autoSpaceDN/>
        <w:bidi w:val="0"/>
        <w:adjustRightInd/>
        <w:snapToGrid w:val="0"/>
        <w:spacing w:before="100" w:beforeAutospacing="0" w:after="100" w:afterAutospacing="0" w:line="590" w:lineRule="exact"/>
        <w:ind w:left="0" w:right="0" w:firstLine="601"/>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澄江市卫生健康局卫生监督局2021年度支出合计303.59万元。其中：基本支出227.45万元，占总支出的74.92%；项目支出76.14万元，占总支出的25.08%；上缴上级支出、经营支出、对附属单位补助支出共0.00万元，占总支出的0.00%。与上年对比，基本支出增加4.16万元，增长1.83%，项目支出增加47.08万元，增长61.83%。基本支出增加主要原因是人员工资及社保缴费增加。项目支出增加主要原因是基本公共卫生服务项目资金增加。</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24"/>
          <w:szCs w:val="24"/>
        </w:rPr>
      </w:pPr>
      <w:r>
        <w:rPr>
          <w:rFonts w:ascii="楷体" w:eastAsia="楷体" w:hAnsi="楷体" w:cs="楷体" w:hint="eastAsia"/>
          <w:kern w:val="0"/>
          <w:sz w:val="32"/>
          <w:szCs w:val="32"/>
          <w:lang w:val="en-US" w:eastAsia="zh-CN" w:bidi="ar"/>
        </w:rPr>
        <w:t>（一）基本支出情况</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lang w:val="en-US" w:eastAsia="zh-CN" w:bidi="ar"/>
        </w:rPr>
      </w:pPr>
      <w:r>
        <w:rPr>
          <w:rFonts w:ascii="仿宋" w:eastAsia="仿宋" w:hAnsi="仿宋" w:cs="仿宋" w:hint="eastAsia"/>
          <w:kern w:val="0"/>
          <w:sz w:val="32"/>
          <w:szCs w:val="32"/>
          <w:lang w:val="en-US" w:eastAsia="zh-CN" w:bidi="ar"/>
        </w:rPr>
        <w:t>2021年度用于保障澄江市卫生健康局卫生监督局机关、下属事业单位等机构正常运转的日常支出227.45万元。与上年对比增加4.16万元，增长1.83%，增加主要原因是人员工资及社保缴费增加。其中：基本工资、津贴补贴等人员经费支出202.43万元，占基本支出的89.00%；办公费、印刷费、水电费、办公设备购置等公用经费25.02万元，占基本支出的11.00%。</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24"/>
          <w:szCs w:val="24"/>
        </w:rPr>
      </w:pPr>
      <w:r>
        <w:rPr>
          <w:rFonts w:ascii="楷体" w:eastAsia="楷体" w:hAnsi="楷体" w:cs="楷体" w:hint="eastAsia"/>
          <w:kern w:val="0"/>
          <w:sz w:val="32"/>
          <w:szCs w:val="32"/>
          <w:lang w:val="en-US" w:eastAsia="zh-CN" w:bidi="ar"/>
        </w:rPr>
        <w:t>（二）项目支出情况</w:t>
      </w:r>
    </w:p>
    <w:p>
      <w:pPr>
        <w:keepNext w:val="0"/>
        <w:keepLines w:val="0"/>
        <w:pageBreakBefore w:val="0"/>
        <w:widowControl/>
        <w:suppressLineNumbers w:val="0"/>
        <w:kinsoku/>
        <w:wordWrap/>
        <w:overflowPunct/>
        <w:topLinePunct/>
        <w:autoSpaceDE/>
        <w:autoSpaceDN/>
        <w:bidi w:val="0"/>
        <w:adjustRightInd/>
        <w:snapToGrid w:val="0"/>
        <w:spacing w:before="0" w:beforeAutospacing="0" w:after="0" w:afterAutospacing="0" w:line="590" w:lineRule="exact"/>
        <w:ind w:left="0" w:right="0" w:firstLine="641"/>
        <w:jc w:val="both"/>
        <w:textAlignment w:val="auto"/>
        <w:rPr>
          <w:rFonts w:ascii="仿宋" w:eastAsia="仿宋" w:hAnsi="仿宋" w:cs="仿宋" w:hint="eastAsia"/>
          <w:color w:val="0D0D0D" w:themeColor="text1" w:themeTint="F2"/>
          <w:kern w:val="0"/>
          <w:sz w:val="32"/>
          <w:szCs w:val="32"/>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32"/>
          <w:szCs w:val="32"/>
          <w:lang w:val="en-US" w:eastAsia="zh-CN" w:bidi="ar"/>
          <w14:textFill>
            <w14:solidFill>
              <w14:schemeClr w14:val="tx1">
                <w14:lumMod w14:val="95000"/>
                <w14:lumOff w14:val="5000"/>
              </w14:schemeClr>
            </w14:solidFill>
          </w14:textFill>
        </w:rPr>
        <w:t>2021年度用于保障澄江市卫生健康局卫生监督局机构、下属事业单位等机构为完成特定的行政工作任务或事业发展目标，用于专项业务工作的经费支出76.14万元。</w:t>
      </w:r>
      <w:r>
        <w:rPr>
          <w:rFonts w:ascii="仿宋" w:eastAsia="仿宋" w:hAnsi="仿宋" w:cs="仿宋" w:hint="eastAsia"/>
          <w:color w:val="0D0D0D" w:themeColor="text1" w:themeTint="F2"/>
          <w:kern w:val="0"/>
          <w:sz w:val="32"/>
          <w:szCs w:val="32"/>
          <w:shd w:val="clear" w:color="auto" w:fill="FFFFFF"/>
          <w:lang w:val="en-US" w:eastAsia="zh-CN" w:bidi="ar"/>
          <w14:textFill>
            <w14:solidFill>
              <w14:schemeClr w14:val="tx1">
                <w14:lumMod w14:val="95000"/>
                <w14:lumOff w14:val="5000"/>
              </w14:schemeClr>
            </w14:solidFill>
          </w14:textFill>
        </w:rPr>
        <w:t>比上年增加47.08万元</w:t>
      </w:r>
      <w:r>
        <w:rPr>
          <w:rFonts w:ascii="仿宋" w:eastAsia="仿宋" w:hAnsi="仿宋" w:cs="仿宋" w:hint="eastAsia"/>
          <w:color w:val="0D0D0D" w:themeColor="text1" w:themeTint="F2"/>
          <w:kern w:val="0"/>
          <w:sz w:val="32"/>
          <w:szCs w:val="32"/>
          <w:lang w:val="en-US" w:eastAsia="zh-CN" w:bidi="ar"/>
          <w14:textFill>
            <w14:solidFill>
              <w14:schemeClr w14:val="tx1">
                <w14:lumMod w14:val="95000"/>
                <w14:lumOff w14:val="5000"/>
              </w14:schemeClr>
            </w14:solidFill>
          </w14:textFill>
        </w:rPr>
        <w:t>，增长61.83%，</w:t>
      </w:r>
      <w:r>
        <w:rPr>
          <w:rFonts w:ascii="仿宋" w:eastAsia="仿宋" w:hAnsi="仿宋" w:cs="仿宋" w:hint="eastAsia"/>
          <w:color w:val="0D0D0D" w:themeColor="text1" w:themeTint="F2"/>
          <w:kern w:val="0"/>
          <w:sz w:val="32"/>
          <w:szCs w:val="32"/>
          <w:shd w:val="clear" w:color="auto" w:fill="FFFFFF"/>
          <w:lang w:val="en-US" w:eastAsia="zh-CN" w:bidi="ar"/>
          <w14:textFill>
            <w14:solidFill>
              <w14:schemeClr w14:val="tx1">
                <w14:lumMod w14:val="95000"/>
                <w14:lumOff w14:val="5000"/>
              </w14:schemeClr>
            </w14:solidFill>
          </w14:textFill>
        </w:rPr>
        <w:t>项目支出增加主要原因是基本公共卫生服务项目资金增加</w:t>
      </w:r>
      <w:r>
        <w:rPr>
          <w:rFonts w:ascii="仿宋" w:eastAsia="仿宋" w:hAnsi="仿宋" w:cs="仿宋" w:hint="eastAsia"/>
          <w:color w:val="0D0D0D" w:themeColor="text1" w:themeTint="F2"/>
          <w:kern w:val="0"/>
          <w:sz w:val="32"/>
          <w:szCs w:val="32"/>
          <w:lang w:val="en-US" w:eastAsia="zh-CN" w:bidi="ar"/>
          <w14:textFill>
            <w14:solidFill>
              <w14:schemeClr w14:val="tx1">
                <w14:lumMod w14:val="95000"/>
                <w14:lumOff w14:val="5000"/>
              </w14:schemeClr>
            </w14:solidFill>
          </w14:textFill>
        </w:rPr>
        <w:t>。</w:t>
      </w:r>
      <w:r>
        <w:rPr>
          <w:rFonts w:ascii="仿宋" w:eastAsia="仿宋" w:hAnsi="仿宋" w:cs="仿宋" w:hint="eastAsia"/>
          <w:color w:val="0D0D0D" w:themeColor="text1" w:themeTint="F2"/>
          <w:kern w:val="0"/>
          <w:sz w:val="32"/>
          <w:szCs w:val="32"/>
          <w:shd w:val="clear" w:color="auto" w:fill="FFFFFF"/>
          <w:lang w:val="en-US" w:eastAsia="zh-CN" w:bidi="ar"/>
          <w14:textFill>
            <w14:solidFill>
              <w14:schemeClr w14:val="tx1">
                <w14:lumMod w14:val="95000"/>
                <w14:lumOff w14:val="5000"/>
              </w14:schemeClr>
            </w14:solidFill>
          </w14:textFill>
        </w:rPr>
        <w:t>具体项目开支及开展工作情况见下表：</w:t>
      </w:r>
    </w:p>
    <w:tbl>
      <w:tblPr>
        <w:tblStyle w:val="TableNormal"/>
        <w:tblW w:w="8247"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704"/>
        <w:gridCol w:w="3068"/>
        <w:gridCol w:w="1261"/>
        <w:gridCol w:w="3214"/>
      </w:tblGrid>
      <w:tr>
        <w:tblPrEx>
          <w:tblW w:w="8247"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6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序号</w:t>
            </w:r>
          </w:p>
        </w:tc>
        <w:tc>
          <w:tcPr>
            <w:tcW w:w="3068"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项目名称</w:t>
            </w:r>
          </w:p>
        </w:tc>
        <w:tc>
          <w:tcPr>
            <w:tcW w:w="1261"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支出数</w:t>
            </w:r>
          </w:p>
        </w:tc>
        <w:tc>
          <w:tcPr>
            <w:tcW w:w="3214"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开展情况</w:t>
            </w:r>
          </w:p>
        </w:tc>
      </w:tr>
      <w:tr>
        <w:tblPrEx>
          <w:tblW w:w="8247" w:type="dxa"/>
          <w:tblInd w:w="93" w:type="dxa"/>
          <w:shd w:val="clear" w:color="auto" w:fill="auto"/>
          <w:tblLayout w:type="fixed"/>
          <w:tblCellMar>
            <w:top w:w="0" w:type="dxa"/>
            <w:left w:w="108" w:type="dxa"/>
            <w:bottom w:w="0" w:type="dxa"/>
            <w:right w:w="108" w:type="dxa"/>
          </w:tblCellMar>
        </w:tblPrEx>
        <w:trPr>
          <w:trHeight w:val="6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1</w:t>
            </w:r>
          </w:p>
        </w:tc>
        <w:tc>
          <w:tcPr>
            <w:tcW w:w="3068"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爱国卫生“7个专项行动”工作专项经费</w:t>
            </w:r>
          </w:p>
        </w:tc>
        <w:tc>
          <w:tcPr>
            <w:tcW w:w="1261"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1.42万元</w:t>
            </w:r>
          </w:p>
        </w:tc>
        <w:tc>
          <w:tcPr>
            <w:tcW w:w="3214"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爱国卫生“7个专项行动”工作专项经费</w:t>
            </w:r>
          </w:p>
        </w:tc>
      </w:tr>
      <w:tr>
        <w:tblPrEx>
          <w:tblW w:w="8247" w:type="dxa"/>
          <w:tblInd w:w="93" w:type="dxa"/>
          <w:shd w:val="clear" w:color="auto" w:fill="auto"/>
          <w:tblLayout w:type="fixed"/>
          <w:tblCellMar>
            <w:top w:w="0" w:type="dxa"/>
            <w:left w:w="108" w:type="dxa"/>
            <w:bottom w:w="0" w:type="dxa"/>
            <w:right w:w="108" w:type="dxa"/>
          </w:tblCellMar>
        </w:tblPrEx>
        <w:trPr>
          <w:trHeight w:val="6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2</w:t>
            </w:r>
          </w:p>
        </w:tc>
        <w:tc>
          <w:tcPr>
            <w:tcW w:w="3068"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医疗服务能力提升结转补助资金</w:t>
            </w:r>
          </w:p>
        </w:tc>
        <w:tc>
          <w:tcPr>
            <w:tcW w:w="1261"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3.45万元</w:t>
            </w:r>
          </w:p>
        </w:tc>
        <w:tc>
          <w:tcPr>
            <w:tcW w:w="3214"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医疗服务能力提升结转补助资金</w:t>
            </w:r>
          </w:p>
        </w:tc>
      </w:tr>
      <w:tr>
        <w:tblPrEx>
          <w:tblW w:w="8247" w:type="dxa"/>
          <w:tblInd w:w="93" w:type="dxa"/>
          <w:shd w:val="clear" w:color="auto" w:fill="auto"/>
          <w:tblLayout w:type="fixed"/>
          <w:tblCellMar>
            <w:top w:w="0" w:type="dxa"/>
            <w:left w:w="108" w:type="dxa"/>
            <w:bottom w:w="0" w:type="dxa"/>
            <w:right w:w="108" w:type="dxa"/>
          </w:tblCellMar>
        </w:tblPrEx>
        <w:trPr>
          <w:trHeight w:val="6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3</w:t>
            </w:r>
          </w:p>
        </w:tc>
        <w:tc>
          <w:tcPr>
            <w:tcW w:w="3068"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创文工作经费</w:t>
            </w:r>
          </w:p>
        </w:tc>
        <w:tc>
          <w:tcPr>
            <w:tcW w:w="1261"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15.00万元</w:t>
            </w:r>
          </w:p>
        </w:tc>
        <w:tc>
          <w:tcPr>
            <w:tcW w:w="3214"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卫生监督工作经费</w:t>
            </w:r>
          </w:p>
        </w:tc>
      </w:tr>
      <w:tr>
        <w:tblPrEx>
          <w:tblW w:w="8247" w:type="dxa"/>
          <w:tblInd w:w="93" w:type="dxa"/>
          <w:shd w:val="clear" w:color="auto" w:fill="auto"/>
          <w:tblLayout w:type="fixed"/>
          <w:tblCellMar>
            <w:top w:w="0" w:type="dxa"/>
            <w:left w:w="108" w:type="dxa"/>
            <w:bottom w:w="0" w:type="dxa"/>
            <w:right w:w="108" w:type="dxa"/>
          </w:tblCellMar>
        </w:tblPrEx>
        <w:trPr>
          <w:trHeight w:val="6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4</w:t>
            </w:r>
          </w:p>
        </w:tc>
        <w:tc>
          <w:tcPr>
            <w:tcW w:w="3068"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基本公共卫生服务资金</w:t>
            </w:r>
          </w:p>
        </w:tc>
        <w:tc>
          <w:tcPr>
            <w:tcW w:w="1261"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54.87万元</w:t>
            </w:r>
          </w:p>
        </w:tc>
        <w:tc>
          <w:tcPr>
            <w:tcW w:w="3214"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基本公共卫生服务资金</w:t>
            </w:r>
          </w:p>
        </w:tc>
      </w:tr>
      <w:tr>
        <w:tblPrEx>
          <w:tblW w:w="8247" w:type="dxa"/>
          <w:tblInd w:w="93" w:type="dxa"/>
          <w:shd w:val="clear" w:color="auto" w:fill="auto"/>
          <w:tblLayout w:type="fixed"/>
          <w:tblCellMar>
            <w:top w:w="0" w:type="dxa"/>
            <w:left w:w="108" w:type="dxa"/>
            <w:bottom w:w="0" w:type="dxa"/>
            <w:right w:w="108" w:type="dxa"/>
          </w:tblCellMar>
        </w:tblPrEx>
        <w:trPr>
          <w:trHeight w:val="6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5</w:t>
            </w:r>
          </w:p>
        </w:tc>
        <w:tc>
          <w:tcPr>
            <w:tcW w:w="3068"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艾滋病防治工作经费</w:t>
            </w:r>
          </w:p>
        </w:tc>
        <w:tc>
          <w:tcPr>
            <w:tcW w:w="1261"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0.14万元</w:t>
            </w:r>
          </w:p>
        </w:tc>
        <w:tc>
          <w:tcPr>
            <w:tcW w:w="3214"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艾滋病防治工作经费</w:t>
            </w:r>
          </w:p>
        </w:tc>
      </w:tr>
      <w:tr>
        <w:tblPrEx>
          <w:tblW w:w="8247" w:type="dxa"/>
          <w:tblInd w:w="93" w:type="dxa"/>
          <w:shd w:val="clear" w:color="auto" w:fill="auto"/>
          <w:tblLayout w:type="fixed"/>
          <w:tblCellMar>
            <w:top w:w="0" w:type="dxa"/>
            <w:left w:w="108" w:type="dxa"/>
            <w:bottom w:w="0" w:type="dxa"/>
            <w:right w:w="108" w:type="dxa"/>
          </w:tblCellMar>
        </w:tblPrEx>
        <w:trPr>
          <w:trHeight w:val="660"/>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6</w:t>
            </w:r>
          </w:p>
        </w:tc>
        <w:tc>
          <w:tcPr>
            <w:tcW w:w="3068"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卫生监督抽查经费</w:t>
            </w:r>
          </w:p>
        </w:tc>
        <w:tc>
          <w:tcPr>
            <w:tcW w:w="1261"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1.26万元</w:t>
            </w:r>
          </w:p>
        </w:tc>
        <w:tc>
          <w:tcPr>
            <w:tcW w:w="3214"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卫生监督抽查经费</w:t>
            </w:r>
          </w:p>
        </w:tc>
      </w:tr>
      <w:tr>
        <w:tblPrEx>
          <w:tblW w:w="8247" w:type="dxa"/>
          <w:tblInd w:w="93" w:type="dxa"/>
          <w:shd w:val="clear" w:color="auto" w:fill="auto"/>
          <w:tblLayout w:type="fixed"/>
          <w:tblCellMar>
            <w:top w:w="0" w:type="dxa"/>
            <w:left w:w="108" w:type="dxa"/>
            <w:bottom w:w="0" w:type="dxa"/>
            <w:right w:w="108" w:type="dxa"/>
          </w:tblCellMar>
        </w:tblPrEx>
        <w:trPr>
          <w:trHeight w:val="660"/>
        </w:trPr>
        <w:tc>
          <w:tcPr>
            <w:tcW w:w="37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合计</w:t>
            </w:r>
          </w:p>
        </w:tc>
        <w:tc>
          <w:tcPr>
            <w:tcW w:w="1261"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t>76.14万元</w:t>
            </w:r>
          </w:p>
        </w:tc>
        <w:tc>
          <w:tcPr>
            <w:tcW w:w="3214"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bidi w:val="0"/>
              <w:spacing w:before="0" w:beforeAutospacing="0" w:after="0" w:afterAutospacing="0" w:line="590" w:lineRule="exact"/>
              <w:ind w:left="0" w:right="0"/>
              <w:jc w:val="center"/>
              <w:textAlignment w:val="center"/>
              <w:rPr>
                <w:rFonts w:ascii="仿宋" w:eastAsia="仿宋" w:hAnsi="仿宋" w:cs="仿宋" w:hint="eastAsia"/>
                <w:color w:val="0D0D0D" w:themeColor="text1" w:themeTint="F2"/>
                <w:kern w:val="0"/>
                <w:sz w:val="22"/>
                <w:szCs w:val="22"/>
                <w:shd w:val="clear" w:color="auto" w:fill="FFFFFF"/>
                <w:lang w:val="en-US" w:eastAsia="zh-CN" w:bidi="ar"/>
                <w14:textFill>
                  <w14:solidFill>
                    <w14:schemeClr w14:val="tx1">
                      <w14:lumMod w14:val="95000"/>
                      <w14:lumOff w14:val="5000"/>
                    </w14:schemeClr>
                  </w14:solidFill>
                </w14:textFill>
              </w:rPr>
            </w:pPr>
          </w:p>
        </w:tc>
      </w:tr>
    </w:tbl>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黑体" w:eastAsia="黑体" w:hAnsi="宋体" w:cs="黑体" w:hint="eastAsia"/>
          <w:kern w:val="0"/>
          <w:sz w:val="32"/>
          <w:szCs w:val="32"/>
        </w:rPr>
      </w:pPr>
      <w:r>
        <w:rPr>
          <w:rFonts w:ascii="黑体" w:eastAsia="黑体" w:hAnsi="宋体" w:cs="黑体" w:hint="eastAsia"/>
          <w:kern w:val="0"/>
          <w:sz w:val="32"/>
          <w:szCs w:val="32"/>
          <w:lang w:val="en-US" w:eastAsia="zh-CN" w:bidi="ar"/>
        </w:rPr>
        <w:t>三、一般公共预算财政拨款支出决算情况说明</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（一）一般公共预算财政拨款支出决算总体情况</w:t>
      </w:r>
    </w:p>
    <w:p>
      <w:pPr>
        <w:pStyle w:val="pMsoNormal"/>
        <w:keepNext w:val="0"/>
        <w:keepLines w:val="0"/>
        <w:pageBreakBefore w:val="0"/>
        <w:widowControl/>
        <w:kinsoku/>
        <w:wordWrap/>
        <w:overflowPunct/>
        <w:topLinePunct w:val="0"/>
        <w:autoSpaceDE/>
        <w:autoSpaceDN/>
        <w:bidi w:val="0"/>
        <w:adjustRightInd/>
        <w:snapToGrid w:val="0"/>
        <w:spacing w:before="100" w:beforeAutospacing="0" w:after="100" w:afterAutospacing="0" w:line="590" w:lineRule="exact"/>
        <w:ind w:left="0" w:right="0" w:firstLine="601"/>
        <w:jc w:val="both"/>
        <w:textAlignment w:val="auto"/>
        <w:rPr>
          <w:rFonts w:ascii="宋体" w:eastAsia="宋体" w:hAnsi="宋体" w:cs="宋体" w:hint="eastAsia"/>
          <w:kern w:val="0"/>
          <w:sz w:val="24"/>
          <w:szCs w:val="24"/>
        </w:rPr>
      </w:pPr>
      <w:r>
        <w:rPr>
          <w:rFonts w:ascii="仿宋" w:eastAsia="仿宋" w:hAnsi="仿宋" w:cs="仿宋" w:hint="eastAsia"/>
          <w:kern w:val="0"/>
          <w:sz w:val="32"/>
          <w:szCs w:val="32"/>
        </w:rPr>
        <w:t>澄江市卫生健康局卫生监督局2021年度一般公共预算财政拨款支出280.02万元，占本年支出合计的92.24%</w:t>
      </w:r>
      <w:r>
        <w:rPr>
          <w:rFonts w:ascii="仿宋" w:eastAsia="仿宋" w:hAnsi="仿宋" w:cs="仿宋" w:hint="eastAsia"/>
          <w:color w:val="000000"/>
          <w:kern w:val="0"/>
          <w:sz w:val="32"/>
          <w:szCs w:val="32"/>
        </w:rPr>
        <w:t>。</w:t>
      </w:r>
      <w:r>
        <w:rPr>
          <w:rFonts w:ascii="仿宋" w:eastAsia="仿宋" w:hAnsi="仿宋" w:cs="仿宋" w:hint="eastAsia"/>
          <w:kern w:val="0"/>
          <w:sz w:val="32"/>
          <w:szCs w:val="32"/>
          <w:shd w:val="clear" w:color="auto" w:fill="FFFFFF"/>
        </w:rPr>
        <w:t>与上年对比增加47.53万元，增长16.97%。增加的主要原因是基本公共卫生服务项目资金增加。</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（二）一般公共预算财政拨款支出决算具体情况</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1．一般公共服务（类）支出0.00万元，占一般公共预算财政拨款总支出的0.00%。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2．外交（类）支出0.00万元，占一般公共预算财政拨款总支出的0.00%。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3．国防（类）支出0.00万元，占一般公共预算财政拨款总支出的0.00%。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4．公共安全（类）支出0.00万元，占一般公共预算财政拨款总支出的0.00%。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5．教育（类）支出0.00万元，占一般公共预算财政拨款总支出的0.00%。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6．科学技术（类）支出0.00万元，占一般公共预算财政拨款总支出的0.00%。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7．文化旅游体育与传媒（类）支出0.00万元，占一般公共预算财政拨款总支出的0.00%。</w:t>
      </w:r>
    </w:p>
    <w:p>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8．社会保障和就业（类）支出31.74万元，占一般公共预算财政拨款总支出的11.34%。</w:t>
      </w:r>
      <w:r>
        <w:rPr>
          <w:rFonts w:ascii="仿宋" w:eastAsia="仿宋" w:hAnsi="仿宋" w:cs="仿宋" w:hint="eastAsia"/>
          <w:kern w:val="0"/>
          <w:sz w:val="32"/>
          <w:szCs w:val="32"/>
          <w:shd w:val="clear" w:color="auto" w:fill="FFFFFF"/>
          <w:lang w:val="en-US" w:eastAsia="zh-CN" w:bidi="ar"/>
        </w:rPr>
        <w:t>主要用于行政单位离退休支出13.76万元、机关事业单位基本养老保险缴费支出13.67万元，机关事业单位职业年金缴费支出4.31万元。</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9．卫生健康（类）支出231.69万元，占一般公共预算财政拨款总支出的82.74%。</w:t>
      </w:r>
      <w:r>
        <w:rPr>
          <w:rFonts w:ascii="仿宋" w:eastAsia="仿宋" w:hAnsi="仿宋" w:cs="仿宋" w:hint="eastAsia"/>
          <w:kern w:val="0"/>
          <w:sz w:val="32"/>
          <w:szCs w:val="32"/>
          <w:shd w:val="clear" w:color="auto" w:fill="FFFFFF"/>
          <w:lang w:val="en-US" w:eastAsia="zh-CN" w:bidi="ar"/>
        </w:rPr>
        <w:t>主要用于卫生监督机构166.13万元，基本公共卫生服务51.15万元，重大公共卫生服务1.42万元，行政单位医疗支出7.43万元、公务员医疗补助支出5.56万元。</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10．节能环保（类）支出0.00万元，占一般公共预算财政拨款总支出的0.00%。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11．城乡社区（类）支出0.00万元，占一般公共预算财政拨款总支出的0.00%。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12．农林水（类）支出0.00万元，占一般公共预算财政拨款总支出的0.00%。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13．交通运输（类）支出0.00万元，占一般公共预算财政拨款总支出的0.00%。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14．资源勘探工业信息等（类）支出类0.00万元，占一般公共预算财政拨款总支出的0.00%。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15．商业服务业等（类）支出0.00万元，占一般公共预算财政拨款总支出的0.00%。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16．金融（类）支出0.00万元，占一般公共预算财政拨款总支出的0.00%。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17．援助其他地区（类）支出0.00万元，占一般公共预算财政拨款总支出的0.00%。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18．自然资源海洋气象等（类）支出0.00万元，占一般公共预算财政拨款总支出的0.00%。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19．住房保障（类）支出16.58万元，占一般公共预算财政拨款总支出的5.92%。</w:t>
      </w:r>
      <w:r>
        <w:rPr>
          <w:rFonts w:ascii="仿宋" w:eastAsia="仿宋" w:hAnsi="仿宋" w:cs="仿宋" w:hint="eastAsia"/>
          <w:kern w:val="0"/>
          <w:sz w:val="32"/>
          <w:szCs w:val="32"/>
          <w:shd w:val="clear" w:color="auto" w:fill="FFFFFF"/>
          <w:lang w:val="en-US" w:eastAsia="zh-CN" w:bidi="ar"/>
        </w:rPr>
        <w:t>主要用于住房公积金补助16.18万元、购房补贴0.40万元。</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20．粮油物资储备（类）支出0.00万元，占一般公共预算财政拨款总支出的0.00%。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21．国有资本经营预算（类）支出0.00万元，占一般公共预算财政拨款总支出的0.00%。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22．灾害防治及应急管理（类）支出0.00万元，占一般公共预算财政拨款总支出的0.00%。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23．其他（类）支出0.00万元，占一般公共预算财政拨款总支出的0.00%。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24．债务还本（类）支出0.00万元，占一般公共预算财政拨款总支出的0.00%。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25．债务付息（类）支出0.00万元，占一般公共预算财政拨款总支出的0.00%。</w:t>
      </w:r>
    </w:p>
    <w:p>
      <w:pPr>
        <w:keepNext w:val="0"/>
        <w:keepLines w:val="0"/>
        <w:pageBreakBefore w:val="0"/>
        <w:widowControl/>
        <w:suppressLineNumbers w:val="0"/>
        <w:kinsoku/>
        <w:wordWrap/>
        <w:overflowPunct/>
        <w:topLinePunct/>
        <w:autoSpaceDE/>
        <w:autoSpaceDN/>
        <w:bidi w:val="0"/>
        <w:snapToGrid w:val="0"/>
        <w:spacing w:before="0" w:beforeAutospacing="0" w:after="0" w:afterAutospacing="0" w:line="590" w:lineRule="exact"/>
        <w:ind w:left="0" w:right="0" w:firstLine="64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26．抗疫特别国债安排（类）支出0.00万元，占一般公共预算财政拨款总支出的0.00%。</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黑体" w:eastAsia="黑体" w:hAnsi="宋体" w:cs="黑体" w:hint="eastAsia"/>
          <w:kern w:val="0"/>
          <w:sz w:val="32"/>
          <w:szCs w:val="32"/>
        </w:rPr>
      </w:pPr>
      <w:r>
        <w:rPr>
          <w:rFonts w:ascii="黑体" w:eastAsia="黑体" w:hAnsi="宋体" w:cs="黑体" w:hint="eastAsia"/>
          <w:kern w:val="0"/>
          <w:sz w:val="32"/>
          <w:szCs w:val="32"/>
          <w:lang w:val="en-US" w:eastAsia="zh-CN" w:bidi="ar"/>
        </w:rPr>
        <w:t>四、一般公共预算财政拨款“三公”经费支出决算情况说明</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（一）一般公共预算财政拨款“三公”经费支出决算总体情况</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澄江市卫生健康局卫生监督局2021年度一般公共预算财政拨款“三公”经费支出预算为0.00万元，支出决算为0.00万元，完成预算的0.00%。其中：因公出国（境）费支出决算为0.00万元，完成预算的0.00%；公务用车购置及运行费支出决算为0.00万元，完成预算的0.00%；公务接待费支出决算为0.00万元，完成预算的0.00%。</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2021年度一般公共预算财政拨款“三公”经费支出决算数比2020年减少0.00万元，下降0.00%。其中：因公出国（境）费支出决算减少0.00万元，下降0.00%；公务用车购置及运行费支出决算减少0.00万元，下降0.00%；公务接待费支出决算减少0.00万元，下降0.00%。</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楷体" w:eastAsia="楷体" w:hAnsi="楷体" w:cs="楷体" w:hint="eastAsia"/>
          <w:kern w:val="0"/>
          <w:sz w:val="32"/>
          <w:szCs w:val="32"/>
        </w:rPr>
      </w:pPr>
      <w:r>
        <w:rPr>
          <w:rFonts w:ascii="楷体" w:eastAsia="楷体" w:hAnsi="楷体" w:cs="楷体" w:hint="eastAsia"/>
          <w:kern w:val="0"/>
          <w:sz w:val="32"/>
          <w:szCs w:val="32"/>
          <w:lang w:val="en-US" w:eastAsia="zh-CN" w:bidi="ar"/>
        </w:rPr>
        <w:t>(二)一般公共预算财政拨款“三公”经费支出决算具体情况</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2021年度一般公共预算财政拨款“三公”经费支出决算中，因公出国（境）费支出0.00万元，占0.00%；公务用车购置及运行维护费支出0.00万元，占0.00%；公务接待费支出0.00万元，占0.00%。具体情况如下：</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b/>
          <w:kern w:val="0"/>
          <w:sz w:val="32"/>
          <w:szCs w:val="32"/>
          <w:lang w:val="en-US" w:eastAsia="zh-CN" w:bidi="ar"/>
        </w:rPr>
        <w:t>1．因公出国（境）费</w:t>
      </w:r>
      <w:r>
        <w:rPr>
          <w:rFonts w:ascii="仿宋" w:eastAsia="仿宋" w:hAnsi="仿宋" w:cs="仿宋" w:hint="eastAsia"/>
          <w:kern w:val="0"/>
          <w:sz w:val="32"/>
          <w:szCs w:val="32"/>
          <w:lang w:val="en-US" w:eastAsia="zh-CN" w:bidi="ar"/>
        </w:rPr>
        <w:t>支出0.00万元，共安排因公出国（境）团组0个，累计0人次。</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b/>
          <w:kern w:val="0"/>
          <w:sz w:val="32"/>
          <w:szCs w:val="32"/>
          <w:lang w:val="en-US" w:eastAsia="zh-CN" w:bidi="ar"/>
        </w:rPr>
        <w:t>2．公务用车购置及运行维护费</w:t>
      </w:r>
      <w:r>
        <w:rPr>
          <w:rFonts w:ascii="仿宋" w:eastAsia="仿宋" w:hAnsi="仿宋" w:cs="仿宋" w:hint="eastAsia"/>
          <w:kern w:val="0"/>
          <w:sz w:val="32"/>
          <w:szCs w:val="32"/>
          <w:lang w:val="en-US" w:eastAsia="zh-CN" w:bidi="ar"/>
        </w:rPr>
        <w:t>支出0.00万元。其中：</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b/>
          <w:kern w:val="0"/>
          <w:sz w:val="32"/>
          <w:szCs w:val="32"/>
          <w:lang w:val="en-US" w:eastAsia="zh-CN" w:bidi="ar"/>
        </w:rPr>
        <w:t>公务用车购置</w:t>
      </w:r>
      <w:r>
        <w:rPr>
          <w:rFonts w:ascii="仿宋" w:eastAsia="仿宋" w:hAnsi="仿宋" w:cs="仿宋" w:hint="eastAsia"/>
          <w:kern w:val="0"/>
          <w:sz w:val="32"/>
          <w:szCs w:val="32"/>
          <w:lang w:val="en-US" w:eastAsia="zh-CN" w:bidi="ar"/>
        </w:rPr>
        <w:t>支出0.00万元，购置车辆0辆。</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b/>
          <w:kern w:val="0"/>
          <w:sz w:val="32"/>
          <w:szCs w:val="32"/>
          <w:lang w:val="en-US" w:eastAsia="zh-CN" w:bidi="ar"/>
        </w:rPr>
        <w:t>公务用车运行维护</w:t>
      </w:r>
      <w:r>
        <w:rPr>
          <w:rFonts w:ascii="仿宋" w:eastAsia="仿宋" w:hAnsi="仿宋" w:cs="仿宋" w:hint="eastAsia"/>
          <w:kern w:val="0"/>
          <w:sz w:val="32"/>
          <w:szCs w:val="32"/>
          <w:lang w:val="en-US" w:eastAsia="zh-CN" w:bidi="ar"/>
        </w:rPr>
        <w:t>支出0.00万元，开支一般公共预算财政拨款的公务用车保有量为0辆。</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b/>
          <w:kern w:val="0"/>
          <w:sz w:val="32"/>
          <w:szCs w:val="32"/>
          <w:lang w:val="en-US" w:eastAsia="zh-CN" w:bidi="ar"/>
        </w:rPr>
        <w:t>3．公务接待费</w:t>
      </w:r>
      <w:r>
        <w:rPr>
          <w:rFonts w:ascii="仿宋" w:eastAsia="仿宋" w:hAnsi="仿宋" w:cs="仿宋" w:hint="eastAsia"/>
          <w:kern w:val="0"/>
          <w:sz w:val="32"/>
          <w:szCs w:val="32"/>
          <w:lang w:val="en-US" w:eastAsia="zh-CN" w:bidi="ar"/>
        </w:rPr>
        <w:t>支出0.00万元。其中：</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b/>
          <w:kern w:val="0"/>
          <w:sz w:val="32"/>
          <w:szCs w:val="32"/>
          <w:lang w:val="en-US" w:eastAsia="zh-CN" w:bidi="ar"/>
        </w:rPr>
        <w:t>国内接待费</w:t>
      </w:r>
      <w:r>
        <w:rPr>
          <w:rFonts w:ascii="仿宋" w:eastAsia="仿宋" w:hAnsi="仿宋" w:cs="仿宋" w:hint="eastAsia"/>
          <w:kern w:val="0"/>
          <w:sz w:val="32"/>
          <w:szCs w:val="32"/>
          <w:lang w:val="en-US" w:eastAsia="zh-CN" w:bidi="ar"/>
        </w:rPr>
        <w:t>支出0.00万元（其中：外事接待费支出0.00万元），共安排国内公务接待0批次（其中：外事接待0批次），接待人次0人（其中：外事接待人次0</w:t>
      </w:r>
      <w:r>
        <w:rPr>
          <w:rFonts w:ascii="仿宋" w:eastAsia="仿宋" w:hAnsi="仿宋" w:cs="仿宋" w:hint="eastAsia"/>
          <w:color w:val="400000"/>
          <w:kern w:val="0"/>
          <w:sz w:val="32"/>
          <w:szCs w:val="32"/>
          <w:lang w:val="en-US" w:eastAsia="zh-CN" w:bidi="ar"/>
        </w:rPr>
        <w:t>。</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b/>
          <w:kern w:val="0"/>
          <w:sz w:val="32"/>
          <w:szCs w:val="32"/>
          <w:lang w:val="en-US" w:eastAsia="zh-CN" w:bidi="ar"/>
        </w:rPr>
        <w:t>国（境）外接待费</w:t>
      </w:r>
      <w:r>
        <w:rPr>
          <w:rFonts w:ascii="仿宋" w:eastAsia="仿宋" w:hAnsi="仿宋" w:cs="仿宋" w:hint="eastAsia"/>
          <w:kern w:val="0"/>
          <w:sz w:val="32"/>
          <w:szCs w:val="32"/>
          <w:lang w:val="en-US" w:eastAsia="zh-CN" w:bidi="ar"/>
        </w:rPr>
        <w:t>支出0.00万元，共安排国（境）外公务接待0批次，接待人次0人。</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宋体" w:eastAsia="宋体" w:hAnsi="宋体" w:cs="宋体" w:hint="eastAsia"/>
          <w:kern w:val="0"/>
          <w:sz w:val="24"/>
          <w:szCs w:val="24"/>
        </w:rPr>
      </w:pPr>
      <w:r>
        <w:rPr>
          <w:rFonts w:ascii="Times New Roman" w:eastAsia="宋体" w:hAnsi="Times New Roman" w:cs="Times New Roman" w:hint="default"/>
          <w:kern w:val="0"/>
          <w:sz w:val="32"/>
          <w:szCs w:val="32"/>
          <w:lang w:val="en-US" w:eastAsia="zh-CN" w:bidi="ar"/>
        </w:rPr>
        <w:t xml:space="preserve"> </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jc w:val="center"/>
        <w:rPr>
          <w:rFonts w:ascii="黑体" w:eastAsia="黑体" w:hAnsi="宋体" w:cs="黑体" w:hint="eastAsia"/>
          <w:kern w:val="0"/>
          <w:sz w:val="36"/>
          <w:szCs w:val="36"/>
        </w:rPr>
      </w:pPr>
      <w:r>
        <w:rPr>
          <w:rFonts w:ascii="黑体" w:eastAsia="黑体" w:hAnsi="宋体" w:cs="黑体" w:hint="eastAsia"/>
          <w:kern w:val="0"/>
          <w:sz w:val="36"/>
          <w:szCs w:val="36"/>
          <w:lang w:val="en-US" w:eastAsia="zh-CN" w:bidi="ar"/>
        </w:rPr>
        <w:t>第四部分  其他重要事项及相关口径情况说明</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黑体" w:eastAsia="黑体" w:hAnsi="宋体" w:cs="黑体" w:hint="eastAsia"/>
          <w:kern w:val="0"/>
          <w:sz w:val="32"/>
          <w:szCs w:val="32"/>
        </w:rPr>
      </w:pPr>
      <w:r>
        <w:rPr>
          <w:rFonts w:ascii="黑体" w:eastAsia="黑体" w:hAnsi="宋体" w:cs="黑体" w:hint="eastAsia"/>
          <w:kern w:val="0"/>
          <w:sz w:val="32"/>
          <w:szCs w:val="32"/>
          <w:lang w:val="en-US" w:eastAsia="zh-CN" w:bidi="ar"/>
        </w:rPr>
        <w:t>一、机关运行经费支出情况</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澄江市卫生健康局卫生监督局2021年机关运行经费支出25.02万元，</w:t>
      </w:r>
      <w:r>
        <w:rPr>
          <w:rFonts w:ascii="仿宋" w:eastAsia="仿宋" w:hAnsi="仿宋" w:cs="仿宋" w:hint="eastAsia"/>
          <w:kern w:val="0"/>
          <w:sz w:val="32"/>
          <w:szCs w:val="32"/>
          <w:shd w:val="clear" w:color="auto" w:fill="FFFFFF"/>
          <w:lang w:val="en-US" w:eastAsia="zh-CN" w:bidi="ar"/>
        </w:rPr>
        <w:t>与上年对比减少0.08万元，下降0.32%，减少的</w:t>
      </w:r>
      <w:r>
        <w:rPr>
          <w:rFonts w:ascii="仿宋" w:eastAsia="仿宋" w:hAnsi="仿宋" w:cs="仿宋" w:hint="eastAsia"/>
          <w:kern w:val="0"/>
          <w:sz w:val="32"/>
          <w:szCs w:val="32"/>
          <w:lang w:val="en-US" w:eastAsia="zh-CN" w:bidi="ar"/>
        </w:rPr>
        <w:t>主要原因是办公费减少。部门机关运行经费主要用于</w:t>
      </w:r>
      <w:r>
        <w:rPr>
          <w:rFonts w:ascii="仿宋" w:eastAsia="仿宋" w:hAnsi="仿宋" w:cs="仿宋" w:hint="eastAsia"/>
          <w:kern w:val="0"/>
          <w:sz w:val="32"/>
          <w:szCs w:val="32"/>
          <w:shd w:val="clear" w:color="auto" w:fill="FFFFFF"/>
          <w:lang w:val="en-US" w:eastAsia="zh-CN" w:bidi="ar"/>
        </w:rPr>
        <w:t>办公费</w:t>
      </w:r>
      <w:r>
        <w:rPr>
          <w:rFonts w:ascii="仿宋" w:eastAsia="仿宋" w:hAnsi="仿宋" w:cs="仿宋" w:hint="eastAsia"/>
          <w:kern w:val="0"/>
          <w:sz w:val="32"/>
          <w:szCs w:val="32"/>
          <w:lang w:val="en-US" w:eastAsia="zh-CN" w:bidi="ar"/>
        </w:rPr>
        <w:t>1.26</w:t>
      </w:r>
      <w:r>
        <w:rPr>
          <w:rFonts w:ascii="仿宋" w:eastAsia="仿宋" w:hAnsi="仿宋" w:cs="仿宋" w:hint="eastAsia"/>
          <w:kern w:val="0"/>
          <w:sz w:val="32"/>
          <w:szCs w:val="32"/>
          <w:shd w:val="clear" w:color="auto" w:fill="FFFFFF"/>
          <w:lang w:val="en-US" w:eastAsia="zh-CN" w:bidi="ar"/>
        </w:rPr>
        <w:t>万元、差旅费</w:t>
      </w:r>
      <w:r>
        <w:rPr>
          <w:rFonts w:ascii="仿宋" w:eastAsia="仿宋" w:hAnsi="仿宋" w:cs="仿宋" w:hint="eastAsia"/>
          <w:kern w:val="0"/>
          <w:sz w:val="32"/>
          <w:szCs w:val="32"/>
          <w:lang w:val="en-US" w:eastAsia="zh-CN" w:bidi="ar"/>
        </w:rPr>
        <w:t>3.04</w:t>
      </w:r>
      <w:r>
        <w:rPr>
          <w:rFonts w:ascii="仿宋" w:eastAsia="仿宋" w:hAnsi="仿宋" w:cs="仿宋" w:hint="eastAsia"/>
          <w:kern w:val="0"/>
          <w:sz w:val="32"/>
          <w:szCs w:val="32"/>
          <w:shd w:val="clear" w:color="auto" w:fill="FFFFFF"/>
          <w:lang w:val="en-US" w:eastAsia="zh-CN" w:bidi="ar"/>
        </w:rPr>
        <w:t>万元、培训费</w:t>
      </w:r>
      <w:r>
        <w:rPr>
          <w:rFonts w:ascii="仿宋" w:eastAsia="仿宋" w:hAnsi="仿宋" w:cs="仿宋" w:hint="eastAsia"/>
          <w:kern w:val="0"/>
          <w:sz w:val="32"/>
          <w:szCs w:val="32"/>
          <w:lang w:val="en-US" w:eastAsia="zh-CN" w:bidi="ar"/>
        </w:rPr>
        <w:t>0.46</w:t>
      </w:r>
      <w:r>
        <w:rPr>
          <w:rFonts w:ascii="仿宋" w:eastAsia="仿宋" w:hAnsi="仿宋" w:cs="仿宋" w:hint="eastAsia"/>
          <w:kern w:val="0"/>
          <w:sz w:val="32"/>
          <w:szCs w:val="32"/>
          <w:shd w:val="clear" w:color="auto" w:fill="FFFFFF"/>
          <w:lang w:val="en-US" w:eastAsia="zh-CN" w:bidi="ar"/>
        </w:rPr>
        <w:t>万元、劳务费</w:t>
      </w:r>
      <w:r>
        <w:rPr>
          <w:rFonts w:ascii="仿宋" w:eastAsia="仿宋" w:hAnsi="仿宋" w:cs="仿宋" w:hint="eastAsia"/>
          <w:kern w:val="0"/>
          <w:sz w:val="32"/>
          <w:szCs w:val="32"/>
          <w:lang w:val="en-US" w:eastAsia="zh-CN" w:bidi="ar"/>
        </w:rPr>
        <w:t>8.82</w:t>
      </w:r>
      <w:r>
        <w:rPr>
          <w:rFonts w:ascii="仿宋" w:eastAsia="仿宋" w:hAnsi="仿宋" w:cs="仿宋" w:hint="eastAsia"/>
          <w:kern w:val="0"/>
          <w:sz w:val="32"/>
          <w:szCs w:val="32"/>
          <w:shd w:val="clear" w:color="auto" w:fill="FFFFFF"/>
          <w:lang w:val="en-US" w:eastAsia="zh-CN" w:bidi="ar"/>
        </w:rPr>
        <w:t>万元、委托业务费</w:t>
      </w:r>
      <w:r>
        <w:rPr>
          <w:rFonts w:ascii="仿宋" w:eastAsia="仿宋" w:hAnsi="仿宋" w:cs="仿宋" w:hint="eastAsia"/>
          <w:kern w:val="0"/>
          <w:sz w:val="32"/>
          <w:szCs w:val="32"/>
          <w:lang w:val="en-US" w:eastAsia="zh-CN" w:bidi="ar"/>
        </w:rPr>
        <w:t>0.80</w:t>
      </w:r>
      <w:r>
        <w:rPr>
          <w:rFonts w:ascii="仿宋" w:eastAsia="仿宋" w:hAnsi="仿宋" w:cs="仿宋" w:hint="eastAsia"/>
          <w:kern w:val="0"/>
          <w:sz w:val="32"/>
          <w:szCs w:val="32"/>
          <w:shd w:val="clear" w:color="auto" w:fill="FFFFFF"/>
          <w:lang w:val="en-US" w:eastAsia="zh-CN" w:bidi="ar"/>
        </w:rPr>
        <w:t>万元、工会经费</w:t>
      </w:r>
      <w:r>
        <w:rPr>
          <w:rFonts w:ascii="仿宋" w:eastAsia="仿宋" w:hAnsi="仿宋" w:cs="仿宋" w:hint="eastAsia"/>
          <w:kern w:val="0"/>
          <w:sz w:val="32"/>
          <w:szCs w:val="32"/>
          <w:lang w:val="en-US" w:eastAsia="zh-CN" w:bidi="ar"/>
        </w:rPr>
        <w:t>1.94</w:t>
      </w:r>
      <w:r>
        <w:rPr>
          <w:rFonts w:ascii="仿宋" w:eastAsia="仿宋" w:hAnsi="仿宋" w:cs="仿宋" w:hint="eastAsia"/>
          <w:kern w:val="0"/>
          <w:sz w:val="32"/>
          <w:szCs w:val="32"/>
          <w:shd w:val="clear" w:color="auto" w:fill="FFFFFF"/>
          <w:lang w:val="en-US" w:eastAsia="zh-CN" w:bidi="ar"/>
        </w:rPr>
        <w:t>万元、其他交通费用</w:t>
      </w:r>
      <w:r>
        <w:rPr>
          <w:rFonts w:ascii="仿宋" w:eastAsia="仿宋" w:hAnsi="仿宋" w:cs="仿宋" w:hint="eastAsia"/>
          <w:kern w:val="0"/>
          <w:sz w:val="32"/>
          <w:szCs w:val="32"/>
          <w:lang w:val="en-US" w:eastAsia="zh-CN" w:bidi="ar"/>
        </w:rPr>
        <w:t>8.70</w:t>
      </w:r>
      <w:r>
        <w:rPr>
          <w:rFonts w:ascii="仿宋" w:eastAsia="仿宋" w:hAnsi="仿宋" w:cs="仿宋" w:hint="eastAsia"/>
          <w:kern w:val="0"/>
          <w:sz w:val="32"/>
          <w:szCs w:val="32"/>
          <w:shd w:val="clear" w:color="auto" w:fill="FFFFFF"/>
          <w:lang w:val="en-US" w:eastAsia="zh-CN" w:bidi="ar"/>
        </w:rPr>
        <w:t>万元</w:t>
      </w:r>
      <w:r>
        <w:rPr>
          <w:rFonts w:ascii="仿宋" w:eastAsia="仿宋" w:hAnsi="仿宋" w:cs="仿宋" w:hint="eastAsia"/>
          <w:color w:val="400000"/>
          <w:kern w:val="0"/>
          <w:sz w:val="32"/>
          <w:szCs w:val="32"/>
          <w:lang w:val="en-US" w:eastAsia="zh-CN" w:bidi="ar"/>
        </w:rPr>
        <w:t>。</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黑体" w:eastAsia="黑体" w:hAnsi="宋体" w:cs="黑体" w:hint="eastAsia"/>
          <w:kern w:val="0"/>
          <w:sz w:val="32"/>
          <w:szCs w:val="32"/>
        </w:rPr>
      </w:pPr>
      <w:r>
        <w:rPr>
          <w:rFonts w:ascii="黑体" w:eastAsia="黑体" w:hAnsi="宋体" w:cs="黑体" w:hint="eastAsia"/>
          <w:kern w:val="0"/>
          <w:sz w:val="32"/>
          <w:szCs w:val="32"/>
          <w:lang w:val="en-US" w:eastAsia="zh-CN" w:bidi="ar"/>
        </w:rPr>
        <w:t>二、</w:t>
      </w:r>
      <w:r>
        <w:rPr>
          <w:rFonts w:ascii="黑体" w:eastAsia="黑体" w:hAnsi="宋体" w:cs="黑体" w:hint="eastAsia"/>
          <w:color w:val="000000"/>
          <w:kern w:val="0"/>
          <w:sz w:val="32"/>
          <w:szCs w:val="32"/>
          <w:lang w:val="en-US" w:eastAsia="zh-CN" w:bidi="ar"/>
        </w:rPr>
        <w:t>国有资产占用情况</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截至2021年12月31日，澄江市卫生健康局卫生监督局资产总额58.52万元，其中，流动资产39.24万元，固定资产19.28万元，对外投资及有价证券0.00万元，在建工程0.00万元，无形资产0.00万元，其他资产0.00万元（具体内容详见附表）。与上年相比，本年资产总额减少20.74万元，其中固定资产增加0.81万元。处置房屋建筑物0.00平方米，账面原值0.00万元；处置车辆0辆，账面原值0.00万元；报废报损资产0项，账面原值0.00万元，实现资产处置收入0.00万元；出租房屋0.00</w:t>
      </w:r>
      <w:bookmarkStart w:id="0" w:name="_GoBack"/>
      <w:bookmarkEnd w:id="0"/>
      <w:r>
        <w:rPr>
          <w:rFonts w:ascii="仿宋" w:eastAsia="仿宋" w:hAnsi="仿宋" w:cs="仿宋" w:hint="eastAsia"/>
          <w:kern w:val="0"/>
          <w:sz w:val="32"/>
          <w:szCs w:val="32"/>
          <w:lang w:val="en-US" w:eastAsia="zh-CN" w:bidi="ar"/>
        </w:rPr>
        <w:t>平方米，账面原值0.00万元，实现资产使用收入0.00万元。</w:t>
      </w:r>
    </w:p>
    <w:tbl>
      <w:tblPr>
        <w:tblStyle w:val="TableNormal"/>
        <w:tblW w:w="943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
      <w:tblGrid>
        <w:gridCol w:w="727"/>
        <w:gridCol w:w="489"/>
        <w:gridCol w:w="740"/>
        <w:gridCol w:w="740"/>
        <w:gridCol w:w="739"/>
        <w:gridCol w:w="740"/>
        <w:gridCol w:w="739"/>
        <w:gridCol w:w="822"/>
        <w:gridCol w:w="740"/>
        <w:gridCol w:w="740"/>
        <w:gridCol w:w="740"/>
        <w:gridCol w:w="740"/>
        <w:gridCol w:w="743"/>
      </w:tblGrid>
      <w:tr>
        <w:tblPrEx>
          <w:tblW w:w="943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90"/>
          <w:jc w:val="center"/>
        </w:trPr>
        <w:tc>
          <w:tcPr>
            <w:tcW w:w="9439" w:type="dxa"/>
            <w:gridSpan w:val="13"/>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Times New Roman" w:eastAsia="宋体" w:hAnsi="Times New Roman" w:cs="Times New Roman" w:hint="eastAsia"/>
                <w:b/>
                <w:color w:val="000000"/>
                <w:kern w:val="0"/>
                <w:sz w:val="30"/>
                <w:szCs w:val="30"/>
                <w:lang w:val="en-US" w:eastAsia="zh-CN" w:bidi="ar"/>
              </w:rPr>
              <w:t>国有资产占有使用情况表</w:t>
            </w:r>
          </w:p>
        </w:tc>
      </w:tr>
      <w:tr>
        <w:tblPrEx>
          <w:tblW w:w="9439" w:type="dxa"/>
          <w:jc w:val="center"/>
          <w:tblInd w:w="0" w:type="dxa"/>
          <w:shd w:val="clear" w:color="auto" w:fill="auto"/>
          <w:tblLayout w:type="fixed"/>
          <w:tblCellMar>
            <w:top w:w="0" w:type="dxa"/>
            <w:left w:w="0" w:type="dxa"/>
            <w:bottom w:w="0" w:type="dxa"/>
            <w:right w:w="0" w:type="dxa"/>
          </w:tblCellMar>
        </w:tblPrEx>
        <w:trPr>
          <w:trHeight w:val="270"/>
          <w:jc w:val="center"/>
        </w:trPr>
        <w:tc>
          <w:tcPr>
            <w:tcW w:w="5736"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lef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 </w:t>
            </w:r>
          </w:p>
        </w:tc>
        <w:tc>
          <w:tcPr>
            <w:tcW w:w="740" w:type="dxa"/>
            <w:tcBorders>
              <w:top w:val="single" w:sz="4" w:space="0" w:color="auto"/>
              <w:left w:val="nil"/>
              <w:bottom w:val="single" w:sz="4" w:space="0" w:color="auto"/>
              <w:right w:val="single" w:sz="4" w:space="0" w:color="auto"/>
            </w:tcBorders>
            <w:shd w:val="clear" w:color="auto" w:fill="FFFFFF"/>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lef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　</w:t>
            </w:r>
          </w:p>
        </w:tc>
        <w:tc>
          <w:tcPr>
            <w:tcW w:w="2963" w:type="dxa"/>
            <w:gridSpan w:val="4"/>
            <w:tcBorders>
              <w:top w:val="single" w:sz="4" w:space="0" w:color="auto"/>
              <w:left w:val="nil"/>
              <w:bottom w:val="single" w:sz="4" w:space="0" w:color="auto"/>
              <w:right w:val="single" w:sz="4" w:space="0" w:color="auto"/>
            </w:tcBorders>
            <w:shd w:val="clear" w:color="auto" w:fill="FFFFFF"/>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单位：万元</w:t>
            </w:r>
          </w:p>
        </w:tc>
      </w:tr>
      <w:tr>
        <w:tblPrEx>
          <w:tblW w:w="9439" w:type="dxa"/>
          <w:jc w:val="center"/>
          <w:tblInd w:w="0" w:type="dxa"/>
          <w:shd w:val="clear" w:color="auto" w:fill="auto"/>
          <w:tblLayout w:type="fixed"/>
          <w:tblCellMar>
            <w:top w:w="0" w:type="dxa"/>
            <w:left w:w="0" w:type="dxa"/>
            <w:bottom w:w="0" w:type="dxa"/>
            <w:right w:w="0" w:type="dxa"/>
          </w:tblCellMar>
        </w:tblPrEx>
        <w:trPr>
          <w:trHeight w:val="270"/>
          <w:jc w:val="center"/>
        </w:trPr>
        <w:tc>
          <w:tcPr>
            <w:tcW w:w="727" w:type="dxa"/>
            <w:vMerge w:val="restart"/>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项目</w:t>
            </w:r>
          </w:p>
        </w:tc>
        <w:tc>
          <w:tcPr>
            <w:tcW w:w="489" w:type="dxa"/>
            <w:vMerge w:val="restart"/>
            <w:tcBorders>
              <w:top w:val="nil"/>
              <w:left w:val="nil"/>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行次</w:t>
            </w:r>
          </w:p>
        </w:tc>
        <w:tc>
          <w:tcPr>
            <w:tcW w:w="740" w:type="dxa"/>
            <w:vMerge w:val="restart"/>
            <w:tcBorders>
              <w:top w:val="nil"/>
              <w:left w:val="nil"/>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资产总额</w:t>
            </w:r>
          </w:p>
        </w:tc>
        <w:tc>
          <w:tcPr>
            <w:tcW w:w="740" w:type="dxa"/>
            <w:vMerge w:val="restart"/>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流动资产</w:t>
            </w:r>
          </w:p>
        </w:tc>
        <w:tc>
          <w:tcPr>
            <w:tcW w:w="3780" w:type="dxa"/>
            <w:gridSpan w:val="5"/>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固定资产</w:t>
            </w:r>
          </w:p>
        </w:tc>
        <w:tc>
          <w:tcPr>
            <w:tcW w:w="740" w:type="dxa"/>
            <w:vMerge w:val="restart"/>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对外投资/有价证券</w:t>
            </w:r>
          </w:p>
        </w:tc>
        <w:tc>
          <w:tcPr>
            <w:tcW w:w="740" w:type="dxa"/>
            <w:vMerge w:val="restart"/>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在建工程</w:t>
            </w:r>
          </w:p>
        </w:tc>
        <w:tc>
          <w:tcPr>
            <w:tcW w:w="740" w:type="dxa"/>
            <w:vMerge w:val="restart"/>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无形资产</w:t>
            </w:r>
          </w:p>
        </w:tc>
        <w:tc>
          <w:tcPr>
            <w:tcW w:w="743" w:type="dxa"/>
            <w:vMerge w:val="restart"/>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其他资产</w:t>
            </w:r>
          </w:p>
        </w:tc>
      </w:tr>
      <w:tr>
        <w:tblPrEx>
          <w:tblW w:w="9439" w:type="dxa"/>
          <w:jc w:val="center"/>
          <w:tblInd w:w="0" w:type="dxa"/>
          <w:shd w:val="clear" w:color="auto" w:fill="auto"/>
          <w:tblLayout w:type="fixed"/>
          <w:tblCellMar>
            <w:top w:w="0" w:type="dxa"/>
            <w:left w:w="0" w:type="dxa"/>
            <w:bottom w:w="0" w:type="dxa"/>
            <w:right w:w="0" w:type="dxa"/>
          </w:tblCellMar>
        </w:tblPrEx>
        <w:trPr>
          <w:trHeight w:val="311"/>
          <w:jc w:val="center"/>
        </w:trPr>
        <w:tc>
          <w:tcPr>
            <w:tcW w:w="727" w:type="dxa"/>
            <w:vMerge/>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489" w:type="dxa"/>
            <w:vMerge/>
            <w:tcBorders>
              <w:top w:val="nil"/>
              <w:left w:val="nil"/>
              <w:bottom w:val="single" w:sz="4" w:space="0" w:color="auto"/>
              <w:right w:val="single" w:sz="4" w:space="0" w:color="auto"/>
            </w:tcBorders>
            <w:shd w:val="clear" w:color="auto" w:fill="auto"/>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40" w:type="dxa"/>
            <w:vMerge/>
            <w:tcBorders>
              <w:top w:val="nil"/>
              <w:left w:val="nil"/>
              <w:bottom w:val="single" w:sz="4" w:space="0" w:color="auto"/>
              <w:right w:val="single" w:sz="4" w:space="0" w:color="auto"/>
            </w:tcBorders>
            <w:shd w:val="clear" w:color="auto" w:fill="auto"/>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40" w:type="dxa"/>
            <w:vMerge/>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39" w:type="dxa"/>
            <w:vMerge w:val="restart"/>
            <w:tcBorders>
              <w:top w:val="nil"/>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小计</w:t>
            </w:r>
          </w:p>
        </w:tc>
        <w:tc>
          <w:tcPr>
            <w:tcW w:w="740" w:type="dxa"/>
            <w:vMerge w:val="restart"/>
            <w:tcBorders>
              <w:top w:val="nil"/>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房屋构筑物</w:t>
            </w:r>
          </w:p>
        </w:tc>
        <w:tc>
          <w:tcPr>
            <w:tcW w:w="739" w:type="dxa"/>
            <w:vMerge w:val="restart"/>
            <w:tcBorders>
              <w:top w:val="nil"/>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车辆</w:t>
            </w:r>
          </w:p>
        </w:tc>
        <w:tc>
          <w:tcPr>
            <w:tcW w:w="822" w:type="dxa"/>
            <w:vMerge w:val="restart"/>
            <w:tcBorders>
              <w:top w:val="nil"/>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单价200万以上大型设备</w:t>
            </w:r>
          </w:p>
        </w:tc>
        <w:tc>
          <w:tcPr>
            <w:tcW w:w="740" w:type="dxa"/>
            <w:vMerge w:val="restart"/>
            <w:tcBorders>
              <w:top w:val="nil"/>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其他固定资产</w:t>
            </w:r>
          </w:p>
        </w:tc>
        <w:tc>
          <w:tcPr>
            <w:tcW w:w="740" w:type="dxa"/>
            <w:vMerge/>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40" w:type="dxa"/>
            <w:vMerge/>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40" w:type="dxa"/>
            <w:vMerge/>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43" w:type="dxa"/>
            <w:vMerge/>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r>
      <w:tr>
        <w:tblPrEx>
          <w:tblW w:w="9439" w:type="dxa"/>
          <w:jc w:val="center"/>
          <w:tblInd w:w="0" w:type="dxa"/>
          <w:shd w:val="clear" w:color="auto" w:fill="auto"/>
          <w:tblLayout w:type="fixed"/>
          <w:tblCellMar>
            <w:top w:w="0" w:type="dxa"/>
            <w:left w:w="0" w:type="dxa"/>
            <w:bottom w:w="0" w:type="dxa"/>
            <w:right w:w="0" w:type="dxa"/>
          </w:tblCellMar>
        </w:tblPrEx>
        <w:trPr>
          <w:trHeight w:val="311"/>
          <w:jc w:val="center"/>
        </w:trPr>
        <w:tc>
          <w:tcPr>
            <w:tcW w:w="727" w:type="dxa"/>
            <w:vMerge/>
            <w:tcBorders>
              <w:top w:val="nil"/>
              <w:left w:val="single" w:sz="4" w:space="0" w:color="auto"/>
              <w:bottom w:val="single" w:sz="4" w:space="0" w:color="auto"/>
              <w:right w:val="single" w:sz="4" w:space="0" w:color="auto"/>
            </w:tcBorders>
            <w:shd w:val="clear" w:color="auto" w:fill="auto"/>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489" w:type="dxa"/>
            <w:vMerge/>
            <w:tcBorders>
              <w:top w:val="nil"/>
              <w:left w:val="nil"/>
              <w:bottom w:val="single" w:sz="4" w:space="0" w:color="auto"/>
              <w:right w:val="single" w:sz="4" w:space="0" w:color="auto"/>
            </w:tcBorders>
            <w:shd w:val="clear" w:color="auto" w:fill="auto"/>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40" w:type="dxa"/>
            <w:vMerge/>
            <w:tcBorders>
              <w:top w:val="nil"/>
              <w:left w:val="nil"/>
              <w:bottom w:val="single" w:sz="4" w:space="0" w:color="auto"/>
              <w:right w:val="single" w:sz="4" w:space="0" w:color="auto"/>
            </w:tcBorders>
            <w:shd w:val="clear" w:color="auto" w:fill="auto"/>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40" w:type="dxa"/>
            <w:vMerge/>
            <w:tcBorders>
              <w:top w:val="single" w:sz="4" w:space="0" w:color="auto"/>
              <w:left w:val="nil"/>
              <w:bottom w:val="single" w:sz="4" w:space="0" w:color="auto"/>
              <w:right w:val="single" w:sz="4" w:space="0" w:color="auto"/>
            </w:tcBorders>
            <w:shd w:val="clear" w:color="auto" w:fill="auto"/>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39" w:type="dxa"/>
            <w:vMerge/>
            <w:tcBorders>
              <w:top w:val="nil"/>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40" w:type="dxa"/>
            <w:vMerge/>
            <w:tcBorders>
              <w:top w:val="nil"/>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39" w:type="dxa"/>
            <w:vMerge/>
            <w:tcBorders>
              <w:top w:val="nil"/>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822" w:type="dxa"/>
            <w:vMerge/>
            <w:tcBorders>
              <w:top w:val="nil"/>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40" w:type="dxa"/>
            <w:vMerge/>
            <w:tcBorders>
              <w:top w:val="nil"/>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40" w:type="dxa"/>
            <w:vMerge/>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40" w:type="dxa"/>
            <w:vMerge/>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40" w:type="dxa"/>
            <w:vMerge/>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c>
          <w:tcPr>
            <w:tcW w:w="743" w:type="dxa"/>
            <w:vMerge/>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suppressLineNumbers w:val="0"/>
              <w:kinsoku/>
              <w:wordWrap/>
              <w:overflowPunct/>
              <w:bidi w:val="0"/>
              <w:spacing w:before="0" w:beforeAutospacing="0" w:after="0" w:afterAutospacing="0" w:line="590" w:lineRule="exact"/>
              <w:ind w:left="0" w:right="0"/>
              <w:rPr>
                <w:rFonts w:ascii="Times New Roman" w:hAnsi="Times New Roman" w:cs="Times New Roman" w:hint="default"/>
                <w:sz w:val="20"/>
                <w:szCs w:val="20"/>
              </w:rPr>
            </w:pPr>
          </w:p>
        </w:tc>
      </w:tr>
      <w:tr>
        <w:tblPrEx>
          <w:tblW w:w="9439" w:type="dxa"/>
          <w:jc w:val="center"/>
          <w:tblInd w:w="0" w:type="dxa"/>
          <w:shd w:val="clear" w:color="auto" w:fill="auto"/>
          <w:tblLayout w:type="fixed"/>
          <w:tblCellMar>
            <w:top w:w="0" w:type="dxa"/>
            <w:left w:w="0" w:type="dxa"/>
            <w:bottom w:w="0" w:type="dxa"/>
            <w:right w:w="0" w:type="dxa"/>
          </w:tblCellMar>
        </w:tblPrEx>
        <w:trPr>
          <w:trHeight w:val="30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栏次</w:t>
            </w:r>
          </w:p>
        </w:tc>
        <w:tc>
          <w:tcPr>
            <w:tcW w:w="489"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lef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 </w:t>
            </w:r>
          </w:p>
        </w:tc>
        <w:tc>
          <w:tcPr>
            <w:tcW w:w="740"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1</w:t>
            </w:r>
          </w:p>
        </w:tc>
        <w:tc>
          <w:tcPr>
            <w:tcW w:w="740"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2</w:t>
            </w:r>
          </w:p>
        </w:tc>
        <w:tc>
          <w:tcPr>
            <w:tcW w:w="739"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3</w:t>
            </w:r>
          </w:p>
        </w:tc>
        <w:tc>
          <w:tcPr>
            <w:tcW w:w="740"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4</w:t>
            </w:r>
          </w:p>
        </w:tc>
        <w:tc>
          <w:tcPr>
            <w:tcW w:w="739"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5</w:t>
            </w:r>
          </w:p>
        </w:tc>
        <w:tc>
          <w:tcPr>
            <w:tcW w:w="822"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6</w:t>
            </w:r>
          </w:p>
        </w:tc>
        <w:tc>
          <w:tcPr>
            <w:tcW w:w="740"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7</w:t>
            </w:r>
          </w:p>
        </w:tc>
        <w:tc>
          <w:tcPr>
            <w:tcW w:w="740"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8</w:t>
            </w:r>
          </w:p>
        </w:tc>
        <w:tc>
          <w:tcPr>
            <w:tcW w:w="740"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9</w:t>
            </w:r>
          </w:p>
        </w:tc>
        <w:tc>
          <w:tcPr>
            <w:tcW w:w="740"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10</w:t>
            </w:r>
          </w:p>
        </w:tc>
        <w:tc>
          <w:tcPr>
            <w:tcW w:w="743"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11</w:t>
            </w:r>
          </w:p>
        </w:tc>
      </w:tr>
      <w:tr>
        <w:tblPrEx>
          <w:tblW w:w="9439" w:type="dxa"/>
          <w:jc w:val="center"/>
          <w:tblInd w:w="0" w:type="dxa"/>
          <w:shd w:val="clear" w:color="auto" w:fill="auto"/>
          <w:tblLayout w:type="fixed"/>
          <w:tblCellMar>
            <w:top w:w="0" w:type="dxa"/>
            <w:left w:w="0" w:type="dxa"/>
            <w:bottom w:w="0" w:type="dxa"/>
            <w:right w:w="0" w:type="dxa"/>
          </w:tblCellMar>
        </w:tblPrEx>
        <w:trPr>
          <w:trHeight w:val="30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合计</w:t>
            </w:r>
          </w:p>
        </w:tc>
        <w:tc>
          <w:tcPr>
            <w:tcW w:w="489"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center"/>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1</w:t>
            </w:r>
          </w:p>
        </w:tc>
        <w:tc>
          <w:tcPr>
            <w:tcW w:w="740"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58.52　</w:t>
            </w:r>
          </w:p>
        </w:tc>
        <w:tc>
          <w:tcPr>
            <w:tcW w:w="740"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39.24　</w:t>
            </w:r>
          </w:p>
        </w:tc>
        <w:tc>
          <w:tcPr>
            <w:tcW w:w="739"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19.28　</w:t>
            </w:r>
          </w:p>
        </w:tc>
        <w:tc>
          <w:tcPr>
            <w:tcW w:w="740"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0.00　</w:t>
            </w:r>
          </w:p>
        </w:tc>
        <w:tc>
          <w:tcPr>
            <w:tcW w:w="739"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0.00　</w:t>
            </w:r>
          </w:p>
        </w:tc>
        <w:tc>
          <w:tcPr>
            <w:tcW w:w="822"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 xml:space="preserve">0.00 </w:t>
            </w:r>
          </w:p>
        </w:tc>
        <w:tc>
          <w:tcPr>
            <w:tcW w:w="740"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19.28　</w:t>
            </w:r>
          </w:p>
        </w:tc>
        <w:tc>
          <w:tcPr>
            <w:tcW w:w="740"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0.00　</w:t>
            </w:r>
          </w:p>
        </w:tc>
        <w:tc>
          <w:tcPr>
            <w:tcW w:w="740"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0.00　</w:t>
            </w:r>
          </w:p>
        </w:tc>
        <w:tc>
          <w:tcPr>
            <w:tcW w:w="740"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0.00　</w:t>
            </w:r>
          </w:p>
        </w:tc>
        <w:tc>
          <w:tcPr>
            <w:tcW w:w="743" w:type="dxa"/>
            <w:tcBorders>
              <w:top w:val="single" w:sz="4" w:space="0" w:color="auto"/>
              <w:left w:val="nil"/>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righ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0.00　</w:t>
            </w:r>
          </w:p>
        </w:tc>
      </w:tr>
      <w:tr>
        <w:tblPrEx>
          <w:tblW w:w="9439" w:type="dxa"/>
          <w:jc w:val="center"/>
          <w:tblInd w:w="0" w:type="dxa"/>
          <w:shd w:val="clear" w:color="auto" w:fill="auto"/>
          <w:tblLayout w:type="fixed"/>
          <w:tblCellMar>
            <w:top w:w="0" w:type="dxa"/>
            <w:left w:w="0" w:type="dxa"/>
            <w:bottom w:w="0" w:type="dxa"/>
            <w:right w:w="0" w:type="dxa"/>
          </w:tblCellMar>
        </w:tblPrEx>
        <w:trPr>
          <w:trHeight w:val="240"/>
          <w:jc w:val="center"/>
        </w:trPr>
        <w:tc>
          <w:tcPr>
            <w:tcW w:w="9439" w:type="dxa"/>
            <w:gridSpan w:val="13"/>
            <w:tcBorders>
              <w:top w:val="single" w:sz="4" w:space="0" w:color="auto"/>
              <w:left w:val="nil"/>
              <w:bottom w:val="nil"/>
              <w:right w:val="nil"/>
            </w:tcBorders>
            <w:shd w:val="clear" w:color="auto" w:fill="auto"/>
            <w:tcMar>
              <w:left w:w="108" w:type="dxa"/>
              <w:right w:w="108" w:type="dxa"/>
            </w:tcMar>
            <w:vAlign w:val="bottom"/>
          </w:tcPr>
          <w:p>
            <w:pPr>
              <w:keepNext w:val="0"/>
              <w:keepLines w:val="0"/>
              <w:pageBreakBefore w:val="0"/>
              <w:widowControl/>
              <w:suppressLineNumbers w:val="0"/>
              <w:kinsoku/>
              <w:wordWrap/>
              <w:overflowPunct/>
              <w:bidi w:val="0"/>
              <w:spacing w:before="0" w:beforeAutospacing="1" w:after="0" w:afterAutospacing="1" w:line="590" w:lineRule="exact"/>
              <w:ind w:left="0" w:right="0"/>
              <w:jc w:val="both"/>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填报说明：　</w:t>
            </w:r>
          </w:p>
        </w:tc>
      </w:tr>
      <w:tr>
        <w:tblPrEx>
          <w:tblW w:w="9439" w:type="dxa"/>
          <w:jc w:val="center"/>
          <w:tblInd w:w="0" w:type="dxa"/>
          <w:shd w:val="clear" w:color="auto" w:fill="auto"/>
          <w:tblLayout w:type="fixed"/>
          <w:tblCellMar>
            <w:top w:w="0" w:type="dxa"/>
            <w:left w:w="0" w:type="dxa"/>
            <w:bottom w:w="0" w:type="dxa"/>
            <w:right w:w="0" w:type="dxa"/>
          </w:tblCellMar>
        </w:tblPrEx>
        <w:trPr>
          <w:trHeight w:val="300"/>
          <w:jc w:val="center"/>
        </w:trPr>
        <w:tc>
          <w:tcPr>
            <w:tcW w:w="9439" w:type="dxa"/>
            <w:gridSpan w:val="13"/>
            <w:tcBorders>
              <w:top w:val="nil"/>
              <w:left w:val="nil"/>
              <w:bottom w:val="nil"/>
              <w:right w:val="nil"/>
            </w:tcBorders>
            <w:shd w:val="clear" w:color="auto" w:fill="auto"/>
            <w:tcMar>
              <w:left w:w="108" w:type="dxa"/>
              <w:right w:w="108" w:type="dxa"/>
            </w:tcMar>
            <w:vAlign w:val="bottom"/>
          </w:tcPr>
          <w:p>
            <w:pPr>
              <w:keepNext w:val="0"/>
              <w:keepLines w:val="0"/>
              <w:pageBreakBefore w:val="0"/>
              <w:widowControl/>
              <w:suppressLineNumbers w:val="0"/>
              <w:kinsoku/>
              <w:wordWrap/>
              <w:overflowPunct/>
              <w:bidi w:val="0"/>
              <w:spacing w:before="0" w:beforeAutospacing="1" w:after="0" w:afterAutospacing="1" w:line="590" w:lineRule="exact"/>
              <w:ind w:left="0" w:right="0"/>
              <w:jc w:val="lef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1.资产总额＝流动资产＋固定资产＋对外投资／有价证券＋在建工程＋无形资产＋其他资产</w:t>
            </w:r>
          </w:p>
        </w:tc>
      </w:tr>
      <w:tr>
        <w:tblPrEx>
          <w:tblW w:w="9439" w:type="dxa"/>
          <w:jc w:val="center"/>
          <w:tblInd w:w="0" w:type="dxa"/>
          <w:shd w:val="clear" w:color="auto" w:fill="auto"/>
          <w:tblLayout w:type="fixed"/>
          <w:tblCellMar>
            <w:top w:w="0" w:type="dxa"/>
            <w:left w:w="0" w:type="dxa"/>
            <w:bottom w:w="0" w:type="dxa"/>
            <w:right w:w="0" w:type="dxa"/>
          </w:tblCellMar>
        </w:tblPrEx>
        <w:trPr>
          <w:trHeight w:val="285"/>
          <w:jc w:val="center"/>
        </w:trPr>
        <w:tc>
          <w:tcPr>
            <w:tcW w:w="9439" w:type="dxa"/>
            <w:gridSpan w:val="13"/>
            <w:tcBorders>
              <w:top w:val="nil"/>
              <w:left w:val="nil"/>
              <w:bottom w:val="nil"/>
              <w:right w:val="nil"/>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lef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2.固定资产＝房屋构筑物＋车辆＋单价200万元以上大型设备＋其他固定资产</w:t>
            </w:r>
          </w:p>
        </w:tc>
      </w:tr>
      <w:tr>
        <w:tblPrEx>
          <w:tblW w:w="9439" w:type="dxa"/>
          <w:jc w:val="center"/>
          <w:tblInd w:w="0" w:type="dxa"/>
          <w:shd w:val="clear" w:color="auto" w:fill="auto"/>
          <w:tblLayout w:type="fixed"/>
          <w:tblCellMar>
            <w:top w:w="0" w:type="dxa"/>
            <w:left w:w="0" w:type="dxa"/>
            <w:bottom w:w="0" w:type="dxa"/>
            <w:right w:w="0" w:type="dxa"/>
          </w:tblCellMar>
        </w:tblPrEx>
        <w:trPr>
          <w:trHeight w:val="285"/>
          <w:jc w:val="center"/>
        </w:trPr>
        <w:tc>
          <w:tcPr>
            <w:tcW w:w="9439" w:type="dxa"/>
            <w:gridSpan w:val="13"/>
            <w:tcBorders>
              <w:top w:val="nil"/>
              <w:left w:val="nil"/>
              <w:bottom w:val="nil"/>
              <w:right w:val="nil"/>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spacing w:before="0" w:beforeAutospacing="1" w:after="0" w:afterAutospacing="1" w:line="590" w:lineRule="exact"/>
              <w:ind w:left="0" w:right="0"/>
              <w:jc w:val="left"/>
              <w:rPr>
                <w:rFonts w:ascii="宋体" w:eastAsia="宋体" w:hAnsi="宋体" w:cs="宋体" w:hint="eastAsia"/>
                <w:kern w:val="0"/>
                <w:sz w:val="24"/>
                <w:szCs w:val="24"/>
              </w:rPr>
            </w:pPr>
            <w:r>
              <w:rPr>
                <w:rFonts w:ascii="宋体" w:eastAsia="宋体" w:hAnsi="宋体" w:cs="宋体" w:hint="eastAsia"/>
                <w:color w:val="000000"/>
                <w:kern w:val="0"/>
                <w:sz w:val="20"/>
                <w:szCs w:val="20"/>
                <w:lang w:val="en-US" w:eastAsia="zh-CN" w:bidi="ar"/>
              </w:rPr>
              <w:t>3.填报金额为资产“账面原值”。</w:t>
            </w:r>
          </w:p>
        </w:tc>
      </w:tr>
    </w:tbl>
    <w:p>
      <w:pPr>
        <w:keepNext w:val="0"/>
        <w:keepLines w:val="0"/>
        <w:pageBreakBefore w:val="0"/>
        <w:widowControl/>
        <w:suppressLineNumbers w:val="0"/>
        <w:kinsoku/>
        <w:wordWrap/>
        <w:overflowPunct/>
        <w:topLinePunct/>
        <w:bidi w:val="0"/>
        <w:snapToGrid w:val="0"/>
        <w:spacing w:before="0" w:beforeAutospacing="0" w:after="0" w:afterAutospacing="0" w:line="590" w:lineRule="exact"/>
        <w:ind w:right="0" w:firstLine="640" w:firstLineChars="200"/>
        <w:jc w:val="both"/>
        <w:rPr>
          <w:rFonts w:ascii="黑体" w:eastAsia="黑体" w:hAnsi="宋体" w:cs="黑体" w:hint="eastAsia"/>
          <w:kern w:val="0"/>
          <w:sz w:val="32"/>
          <w:szCs w:val="32"/>
        </w:rPr>
      </w:pPr>
      <w:r>
        <w:rPr>
          <w:rFonts w:ascii="黑体" w:eastAsia="黑体" w:hAnsi="宋体" w:cs="黑体" w:hint="eastAsia"/>
          <w:kern w:val="0"/>
          <w:sz w:val="32"/>
          <w:szCs w:val="32"/>
          <w:lang w:val="en-US" w:eastAsia="zh-CN" w:bidi="ar"/>
        </w:rPr>
        <w:t>三、政府采购支出情况</w:t>
      </w:r>
    </w:p>
    <w:p>
      <w:pPr>
        <w:keepNext w:val="0"/>
        <w:keepLines w:val="0"/>
        <w:pageBreakBefore w:val="0"/>
        <w:widowControl/>
        <w:suppressLineNumbers w:val="0"/>
        <w:kinsoku/>
        <w:wordWrap/>
        <w:overflowPunct/>
        <w:topLinePunct/>
        <w:autoSpaceDE/>
        <w:autoSpaceDN/>
        <w:bidi w:val="0"/>
        <w:adjustRightInd/>
        <w:snapToGrid w:val="0"/>
        <w:spacing w:before="0" w:beforeAutospacing="0" w:after="0" w:afterAutospacing="0" w:line="590" w:lineRule="exact"/>
        <w:ind w:left="0" w:right="0" w:firstLine="641"/>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2021年度，部门政府采购支出总额2.10万元，其中：政府采购货物支出2.10万元；政府采购工程支出0.00万元；政府采购服务支出0.00万元。授予中小企业合同金额0.00万元，占政府采购支出总额的0.00%。</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right="0" w:firstLine="640" w:firstLineChars="200"/>
        <w:jc w:val="both"/>
        <w:rPr>
          <w:rFonts w:ascii="黑体" w:eastAsia="黑体" w:hAnsi="宋体" w:cs="黑体" w:hint="eastAsia"/>
          <w:kern w:val="0"/>
          <w:sz w:val="32"/>
          <w:szCs w:val="32"/>
        </w:rPr>
      </w:pPr>
      <w:r>
        <w:rPr>
          <w:rFonts w:ascii="黑体" w:eastAsia="黑体" w:hAnsi="宋体" w:cs="黑体" w:hint="eastAsia"/>
          <w:kern w:val="0"/>
          <w:sz w:val="32"/>
          <w:szCs w:val="32"/>
          <w:lang w:val="en-US" w:eastAsia="zh-CN" w:bidi="ar"/>
        </w:rPr>
        <w:t>四、部门绩效自评情况</w:t>
      </w:r>
    </w:p>
    <w:p>
      <w:pPr>
        <w:keepNext w:val="0"/>
        <w:keepLines w:val="0"/>
        <w:pageBreakBefore w:val="0"/>
        <w:widowControl/>
        <w:suppressLineNumbers w:val="0"/>
        <w:kinsoku/>
        <w:wordWrap/>
        <w:overflowPunct/>
        <w:topLinePunct/>
        <w:autoSpaceDE w:val="0"/>
        <w:autoSpaceDN/>
        <w:bidi w:val="0"/>
        <w:snapToGrid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根据澄江市财政局印发的《关于开展2021年度市级部门整体支出和项目支出预算绩效自评工作的通知》，澄江市卫生健康局卫生监督局对2021年项目支出进行了绩效自评，共涉及预算项目8个，其中，自评等级为“优”的8个，“良”的0个，“中”的0个，“差”的0个。</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559" w:right="0" w:firstLine="208" w:leftChars="266" w:firstLineChars="65"/>
        <w:jc w:val="both"/>
        <w:rPr>
          <w:rFonts w:ascii="仿宋" w:eastAsia="仿宋" w:hAnsi="仿宋" w:cs="仿宋" w:hint="eastAsia"/>
          <w:kern w:val="0"/>
          <w:sz w:val="32"/>
          <w:szCs w:val="32"/>
          <w:lang w:val="en-US" w:eastAsia="zh-CN" w:bidi="ar"/>
        </w:rPr>
      </w:pPr>
      <w:r>
        <w:rPr>
          <w:rFonts w:ascii="仿宋" w:eastAsia="仿宋" w:hAnsi="仿宋" w:cs="仿宋" w:hint="eastAsia"/>
          <w:kern w:val="0"/>
          <w:sz w:val="32"/>
          <w:szCs w:val="32"/>
          <w:lang w:val="en-US" w:eastAsia="zh-CN" w:bidi="ar"/>
        </w:rPr>
        <w:t>部门绩效自评情况详见附表（附表10－附表12）。</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559" w:right="0" w:firstLine="208" w:leftChars="266" w:firstLineChars="65"/>
        <w:jc w:val="both"/>
        <w:rPr>
          <w:rFonts w:ascii="仿宋" w:eastAsia="仿宋" w:hAnsi="仿宋" w:cs="仿宋" w:hint="eastAsia"/>
          <w:kern w:val="0"/>
          <w:sz w:val="32"/>
          <w:szCs w:val="32"/>
        </w:rPr>
      </w:pPr>
      <w:r>
        <w:rPr>
          <w:rFonts w:ascii="黑体" w:eastAsia="黑体" w:hAnsi="宋体" w:cs="黑体" w:hint="eastAsia"/>
          <w:kern w:val="0"/>
          <w:sz w:val="32"/>
          <w:szCs w:val="32"/>
          <w:lang w:val="en-US" w:eastAsia="zh-CN" w:bidi="ar"/>
        </w:rPr>
        <w:t>五、其他重要事项情况说明</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无。</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黑体" w:eastAsia="黑体" w:hAnsi="宋体" w:cs="黑体" w:hint="eastAsia"/>
          <w:kern w:val="0"/>
          <w:sz w:val="32"/>
          <w:szCs w:val="32"/>
        </w:rPr>
      </w:pPr>
      <w:r>
        <w:rPr>
          <w:rFonts w:ascii="黑体" w:eastAsia="黑体" w:hAnsi="宋体" w:cs="黑体" w:hint="eastAsia"/>
          <w:kern w:val="0"/>
          <w:sz w:val="32"/>
          <w:szCs w:val="32"/>
          <w:lang w:val="en-US" w:eastAsia="zh-CN" w:bidi="ar"/>
        </w:rPr>
        <w:t>六、相关口径说明</w:t>
      </w:r>
    </w:p>
    <w:p>
      <w:pPr>
        <w:keepNext w:val="0"/>
        <w:keepLines w:val="0"/>
        <w:pageBreakBefore w:val="0"/>
        <w:widowControl/>
        <w:suppressLineNumbers w:val="0"/>
        <w:kinsoku/>
        <w:wordWrap/>
        <w:overflowPunct/>
        <w:topLinePunct/>
        <w:autoSpaceDE/>
        <w:autoSpaceDN/>
        <w:bidi w:val="0"/>
        <w:adjustRightInd/>
        <w:snapToGrid w:val="0"/>
        <w:spacing w:before="0" w:beforeAutospacing="0" w:after="0" w:afterAutospacing="0" w:line="590" w:lineRule="exact"/>
        <w:ind w:left="0" w:right="0" w:firstLine="641"/>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autoSpaceDE/>
        <w:autoSpaceDN/>
        <w:bidi w:val="0"/>
        <w:adjustRightInd/>
        <w:snapToGrid w:val="0"/>
        <w:spacing w:before="0" w:beforeAutospacing="0" w:after="0" w:afterAutospacing="0" w:line="590" w:lineRule="exact"/>
        <w:ind w:left="0" w:right="0" w:firstLine="641"/>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（二）机关运行经费指行政单位和参照公务员法管理的事业单位使用一般公共预算财政拨款安排的基本支出中的公用经费支出。</w:t>
      </w:r>
    </w:p>
    <w:p>
      <w:pPr>
        <w:keepNext w:val="0"/>
        <w:keepLines w:val="0"/>
        <w:pageBreakBefore w:val="0"/>
        <w:widowControl/>
        <w:suppressLineNumbers w:val="0"/>
        <w:kinsoku/>
        <w:wordWrap/>
        <w:overflowPunct/>
        <w:topLinePunct/>
        <w:autoSpaceDE/>
        <w:autoSpaceDN/>
        <w:bidi w:val="0"/>
        <w:adjustRightInd/>
        <w:snapToGrid w:val="0"/>
        <w:spacing w:before="0" w:beforeAutospacing="0" w:after="0" w:afterAutospacing="0" w:line="590" w:lineRule="exact"/>
        <w:ind w:left="0" w:right="0" w:firstLine="641"/>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autoSpaceDE/>
        <w:autoSpaceDN/>
        <w:bidi w:val="0"/>
        <w:adjustRightInd/>
        <w:snapToGrid w:val="0"/>
        <w:spacing w:before="0" w:beforeAutospacing="0" w:after="0" w:afterAutospacing="0" w:line="590" w:lineRule="exact"/>
        <w:ind w:left="0" w:right="0" w:firstLine="641"/>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bidi="ar"/>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jc w:val="both"/>
        <w:rPr>
          <w:rFonts w:ascii="宋体" w:eastAsia="宋体" w:hAnsi="宋体" w:cs="宋体" w:hint="eastAsia"/>
          <w:kern w:val="0"/>
          <w:sz w:val="24"/>
          <w:szCs w:val="24"/>
        </w:rPr>
      </w:pPr>
      <w:r>
        <w:rPr>
          <w:rFonts w:ascii="Times New Roman" w:eastAsia="宋体" w:hAnsi="Times New Roman" w:cs="Times New Roman" w:hint="default"/>
          <w:kern w:val="0"/>
          <w:sz w:val="32"/>
          <w:szCs w:val="32"/>
          <w:lang w:val="en-US" w:eastAsia="zh-CN" w:bidi="ar"/>
        </w:rPr>
        <w:t xml:space="preserve"> </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jc w:val="center"/>
        <w:rPr>
          <w:rFonts w:ascii="黑体" w:eastAsia="黑体" w:hAnsi="宋体" w:cs="黑体" w:hint="eastAsia"/>
          <w:kern w:val="0"/>
          <w:sz w:val="36"/>
          <w:szCs w:val="36"/>
        </w:rPr>
      </w:pPr>
      <w:r>
        <w:rPr>
          <w:rFonts w:ascii="黑体" w:eastAsia="黑体" w:hAnsi="宋体" w:cs="黑体" w:hint="eastAsia"/>
          <w:kern w:val="0"/>
          <w:sz w:val="36"/>
          <w:szCs w:val="36"/>
          <w:lang w:val="en-US" w:eastAsia="zh-CN" w:bidi="ar"/>
        </w:rPr>
        <w:t>第五部分  名词解释</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黑体" w:eastAsia="黑体" w:hAnsi="黑体" w:cs="黑体" w:hint="eastAsia"/>
          <w:kern w:val="0"/>
          <w:sz w:val="32"/>
          <w:szCs w:val="32"/>
          <w:lang w:val="en-US" w:eastAsia="zh-CN" w:bidi="ar"/>
        </w:rPr>
        <w:t>一、政府采购：</w:t>
      </w:r>
      <w:r>
        <w:rPr>
          <w:rFonts w:ascii="仿宋" w:eastAsia="仿宋" w:hAnsi="仿宋" w:cs="仿宋" w:hint="eastAsia"/>
          <w:kern w:val="0"/>
          <w:sz w:val="32"/>
          <w:szCs w:val="32"/>
          <w:lang w:val="en-US" w:eastAsia="zh-CN" w:bidi="ar"/>
        </w:rPr>
        <w:t>是指各级国家机关、事业单位和团体组织，使用财政性资金采购依法制定的集中采购目录以内的或者采购限额标准以上的货物、工程和服务的行为。</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黑体" w:eastAsia="黑体" w:hAnsi="黑体" w:cs="黑体" w:hint="eastAsia"/>
          <w:kern w:val="0"/>
          <w:sz w:val="32"/>
          <w:szCs w:val="32"/>
          <w:lang w:val="en-US" w:eastAsia="zh-CN" w:bidi="ar"/>
        </w:rPr>
        <w:t>二、一般公共预算收入：</w:t>
      </w:r>
      <w:r>
        <w:rPr>
          <w:rFonts w:ascii="仿宋" w:eastAsia="仿宋" w:hAnsi="仿宋" w:cs="仿宋" w:hint="eastAsia"/>
          <w:kern w:val="0"/>
          <w:sz w:val="32"/>
          <w:szCs w:val="32"/>
          <w:lang w:val="en-US" w:eastAsia="zh-CN" w:bidi="ar"/>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黑体" w:eastAsia="黑体" w:hAnsi="黑体" w:cs="黑体" w:hint="eastAsia"/>
          <w:kern w:val="0"/>
          <w:sz w:val="32"/>
          <w:szCs w:val="32"/>
          <w:lang w:val="en-US" w:eastAsia="zh-CN" w:bidi="ar"/>
        </w:rPr>
        <w:t>三、一般公共预算支出：</w:t>
      </w:r>
      <w:r>
        <w:rPr>
          <w:rFonts w:ascii="仿宋" w:eastAsia="仿宋" w:hAnsi="仿宋" w:cs="仿宋" w:hint="eastAsia"/>
          <w:kern w:val="0"/>
          <w:sz w:val="32"/>
          <w:szCs w:val="32"/>
          <w:lang w:val="en-US" w:eastAsia="zh-CN" w:bidi="ar"/>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suppressLineNumbers w:val="0"/>
        <w:kinsoku/>
        <w:wordWrap/>
        <w:overflowPunct/>
        <w:topLinePunct/>
        <w:bidi w:val="0"/>
        <w:snapToGrid w:val="0"/>
        <w:spacing w:before="0" w:beforeAutospacing="0" w:after="0" w:afterAutospacing="0" w:line="590" w:lineRule="exact"/>
        <w:ind w:left="0" w:right="0" w:firstLine="640"/>
        <w:jc w:val="both"/>
        <w:rPr>
          <w:rFonts w:ascii="仿宋" w:eastAsia="仿宋" w:hAnsi="仿宋" w:cs="仿宋" w:hint="eastAsia"/>
          <w:kern w:val="0"/>
          <w:sz w:val="32"/>
          <w:szCs w:val="32"/>
        </w:rPr>
      </w:pPr>
      <w:r>
        <w:rPr>
          <w:rFonts w:ascii="黑体" w:eastAsia="黑体" w:hAnsi="黑体" w:cs="黑体" w:hint="eastAsia"/>
          <w:kern w:val="0"/>
          <w:sz w:val="32"/>
          <w:szCs w:val="32"/>
          <w:lang w:val="en-US" w:eastAsia="zh-CN" w:bidi="ar"/>
        </w:rPr>
        <w:t>四、“三公”经费：</w:t>
      </w:r>
      <w:r>
        <w:rPr>
          <w:rFonts w:ascii="仿宋" w:eastAsia="仿宋" w:hAnsi="仿宋" w:cs="仿宋" w:hint="eastAsia"/>
          <w:kern w:val="0"/>
          <w:sz w:val="32"/>
          <w:szCs w:val="32"/>
          <w:lang w:val="en-US" w:eastAsia="zh-CN" w:bidi="ar"/>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kinsoku/>
        <w:wordWrap/>
        <w:overflowPunct/>
        <w:bidi w:val="0"/>
        <w:spacing w:line="590" w:lineRule="exact"/>
      </w:pPr>
    </w:p>
    <w:p>
      <w:pPr>
        <w:rPr>
          <w:rFonts w:ascii="Arial" w:eastAsia="Arial" w:hAnsi="Arial" w:cs="Arial"/>
          <w:b/>
          <w:sz w:val="36"/>
        </w:rPr>
      </w:pPr>
      <w:r>
        <w:rPr>
          <w:rFonts w:ascii="Arial" w:eastAsia="Arial" w:hAnsi="Arial" w:cs="Arial"/>
          <w:b/>
          <w:sz w:val="36"/>
        </w:rPr>
        <w:t>监督索引号53042200436100901111</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E67E0C"/>
    <w:rsid w:val="03B03D18"/>
    <w:rsid w:val="0C417CA8"/>
    <w:rsid w:val="10DB5D3D"/>
    <w:rsid w:val="159D06A0"/>
    <w:rsid w:val="45CA1363"/>
    <w:rsid w:val="49F60683"/>
    <w:rsid w:val="54237439"/>
    <w:rsid w:val="57E67E0C"/>
    <w:rsid w:val="57FA74F1"/>
    <w:rsid w:val="69072D0E"/>
    <w:rsid w:val="77CE5842"/>
    <w:rsid w:val="7957658D"/>
    <w:rsid w:val="7C3C0D5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NormalIndent">
    <w:name w:val="Normal Indent"/>
    <w:basedOn w:val="Normal"/>
    <w:next w:val="Normal"/>
    <w:qFormat/>
    <w:pPr>
      <w:snapToGrid w:val="0"/>
      <w:spacing w:before="0" w:beforeAutospacing="0" w:after="0" w:afterAutospacing="0" w:line="300" w:lineRule="auto"/>
      <w:ind w:left="0" w:right="0" w:firstLine="556"/>
      <w:jc w:val="left"/>
    </w:pPr>
    <w:rPr>
      <w:rFonts w:ascii="仿宋_GB2312" w:eastAsia="仿宋_GB2312" w:hAnsi="Times New Roman" w:cs="宋体" w:hint="eastAsia"/>
      <w:kern w:val="0"/>
      <w:sz w:val="24"/>
      <w:szCs w:val="24"/>
      <w:lang w:val="en-US" w:eastAsia="zh-CN" w:bidi="ar"/>
    </w:rPr>
  </w:style>
  <w:style w:type="character" w:customStyle="1" w:styleId="15">
    <w:name w:val="15"/>
    <w:basedOn w:val="DefaultParagraphFont"/>
    <w:rPr>
      <w:rFonts w:ascii="Times New Roman" w:hAnsi="Times New Roman" w:cs="Times New Roman" w:hint="default"/>
    </w:rPr>
  </w:style>
  <w:style w:type="character" w:customStyle="1" w:styleId="10">
    <w:name w:val="10"/>
    <w:basedOn w:val="DefaultParagraphFont"/>
    <w:rPr>
      <w:rFonts w:ascii="Times New Roman" w:hAnsi="Times New Roman" w:cs="Times New Roman" w:hint="default"/>
    </w:rPr>
  </w:style>
  <w:style w:type="character" w:customStyle="1" w:styleId="16">
    <w:name w:val="16"/>
    <w:basedOn w:val="DefaultParagraphFont"/>
    <w:rPr>
      <w:rFonts w:ascii="Times New Roman" w:hAnsi="Times New Roman" w:cs="Times New Roman" w:hint="default"/>
    </w:rPr>
  </w:style>
  <w:style w:type="paragraph" w:customStyle="1" w:styleId="pMsoNormal">
    <w:name w:val="p_MsoNormal"/>
    <w:basedOn w:val="Normal"/>
    <w:pPr>
      <w:keepNext w:val="0"/>
      <w:keepLines w:val="0"/>
      <w:widowControl/>
      <w:suppressLineNumbers w:val="0"/>
      <w:spacing w:before="0" w:beforeAutospacing="0" w:after="0" w:afterAutospacing="0"/>
      <w:ind w:left="0" w:right="0"/>
      <w:jc w:val="left"/>
    </w:pPr>
    <w:rPr>
      <w:rFonts w:ascii="宋体" w:eastAsia="宋体" w:hAnsi="宋体" w:cs="宋体" w:hint="eastAsia"/>
      <w:kern w:val="0"/>
      <w:sz w:val="24"/>
      <w:szCs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玉溪市澄江县党政机关单位</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y'l'p</dc:creator>
  <cp:lastModifiedBy>张爱菲</cp:lastModifiedBy>
  <cp:revision>1</cp:revision>
  <dcterms:created xsi:type="dcterms:W3CDTF">2022-10-11T09:47:00Z</dcterms:created>
  <dcterms:modified xsi:type="dcterms:W3CDTF">2022-10-12T03:22:11Z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