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监督索引号53042200436100601000</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jc w:val="center"/>
        <w:textAlignment w:val="auto"/>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澄江市右所卫生院2021年度部门决算</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bookmarkStart w:id="0" w:name="_GoBack"/>
      <w:r>
        <w:rPr>
          <w:rFonts w:ascii="Times New Roman" w:eastAsia="宋体" w:hAnsi="Times New Roman" w:cs="Times New Roman" w:hint="default"/>
          <w:kern w:val="0"/>
          <w:sz w:val="36"/>
          <w:szCs w:val="36"/>
        </w:rPr>
        <w:t xml:space="preserve"> </w:t>
      </w:r>
      <w:bookmarkEnd w:id="0"/>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jc w:val="center"/>
        <w:textAlignment w:val="auto"/>
        <w:rPr>
          <w:rFonts w:ascii="方正小标宋简体" w:eastAsia="方正小标宋简体" w:hAnsi="方正小标宋简体" w:cs="方正小标宋简体" w:hint="eastAsia"/>
          <w:kern w:val="0"/>
          <w:sz w:val="36"/>
          <w:szCs w:val="36"/>
        </w:rPr>
      </w:pPr>
      <w:r>
        <w:rPr>
          <w:rFonts w:ascii="方正小标宋简体" w:eastAsia="方正小标宋简体" w:hAnsi="方正小标宋简体" w:cs="方正小标宋简体" w:hint="eastAsia"/>
          <w:kern w:val="0"/>
          <w:sz w:val="36"/>
          <w:szCs w:val="36"/>
        </w:rPr>
        <w:t>目录</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jc w:val="both"/>
        <w:textAlignment w:val="auto"/>
        <w:rPr>
          <w:rFonts w:ascii="宋体" w:eastAsia="宋体" w:hAnsi="宋体" w:cs="宋体" w:hint="eastAsia"/>
          <w:kern w:val="0"/>
          <w:sz w:val="24"/>
          <w:szCs w:val="24"/>
        </w:rPr>
      </w:pP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第一部分  澄江市右所卫生院概况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一、主要职能</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二、部门基本情况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第二部分  2021年度部门决算表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一、收入支出决算总表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二、收入决算表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四、财政拨款收入支出决算总表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五、一般公共预算财政拨款收入支出决算表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六、一般公共预算财政拨款基本支出决算表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七、政府性基金预算财政拨款收入支出决算表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八、国有资本经营预算财政拨款收入支出决算表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宋体" w:eastAsia="宋体" w:hAnsi="宋体" w:cs="宋体" w:hint="eastAsia"/>
          <w:kern w:val="0"/>
          <w:sz w:val="24"/>
          <w:szCs w:val="24"/>
        </w:rPr>
      </w:pPr>
      <w:r>
        <w:rPr>
          <w:rFonts w:ascii="楷体" w:eastAsia="楷体" w:hAnsi="楷体" w:cs="楷体" w:hint="eastAsia"/>
          <w:kern w:val="0"/>
          <w:sz w:val="32"/>
          <w:szCs w:val="32"/>
        </w:rPr>
        <w:t>九、“三公”经费、行政参公单位机关运行经费情况表</w:t>
      </w: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第三部分  2021年度部门决算情况说明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一、收入决算情况说明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二、支出决算情况说明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三、一般公共预算财政拨款支出决算情况说明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宋体" w:eastAsia="宋体" w:hAnsi="宋体" w:cs="宋体" w:hint="eastAsia"/>
          <w:kern w:val="0"/>
          <w:sz w:val="24"/>
          <w:szCs w:val="24"/>
        </w:rPr>
      </w:pPr>
      <w:r>
        <w:rPr>
          <w:rFonts w:ascii="楷体" w:eastAsia="楷体" w:hAnsi="楷体" w:cs="楷体" w:hint="eastAsia"/>
          <w:kern w:val="0"/>
          <w:sz w:val="32"/>
          <w:szCs w:val="32"/>
        </w:rPr>
        <w:t>四、一般公共预算财政拨款“三公”经费支出决算情况说明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第四部分  其他重要事项及相关口径情况说明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一、机关运行经费支出情况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二、国有资产占用情况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三、政府采购支出情况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四、部门绩效自评情况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（一）部门整体支出绩效自评情况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（二）部门整体支出绩效自评表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（三）项目支出绩效自评表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五、其他重要事项情况说明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第五部分  名词解释</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Times New Roman" w:eastAsia="宋体" w:hAnsi="Times New Roman" w:cs="Times New Roman" w:hint="default"/>
          <w:kern w:val="0"/>
          <w:sz w:val="32"/>
          <w:szCs w:val="32"/>
        </w:rPr>
        <w:br w:type="page"/>
      </w:r>
      <w:r>
        <w:rPr>
          <w:rFonts w:ascii="黑体" w:eastAsia="黑体" w:hAnsi="宋体" w:cs="黑体" w:hint="eastAsia"/>
          <w:kern w:val="0"/>
          <w:sz w:val="36"/>
          <w:szCs w:val="36"/>
        </w:rPr>
        <w:t>第一部分  澄江市右所卫生院概况</w:t>
      </w: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一、主要职能</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（一）主要职能</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rPr>
        <w:t>1.提供公共卫生服务</w:t>
      </w:r>
      <w:r>
        <w:rPr>
          <w:rFonts w:ascii="仿宋" w:eastAsia="仿宋" w:hAnsi="仿宋" w:cs="仿宋" w:hint="eastAsia"/>
          <w:kern w:val="0"/>
          <w:sz w:val="32"/>
          <w:szCs w:val="32"/>
          <w:lang w:eastAsia="zh-CN"/>
        </w:rPr>
        <w:t>。</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（1）承担农村居民健康档案规范建档指导、管理及服务。</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（2）普及卫生保健常识，在重点人群和重点场所开展健康教育，帮助居民形成有利于维护和增进健康的行为方式；指导开展爱国卫生工作。</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（3）提供并组织实施辖区预防接种服务，落实国家免疫规划。</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（4）及时发现、登记并报告辖区内发现的传染病病例和疑似病例，参与现场疫情处理。</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（5）开展新生儿访视及儿童保健系统管理，进行体格检查和生长发育监测及评价，开展健康指导。</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（6）开展孕产妇保健系统管理和产后访视，进行一般体格检查及孕期营养、心理等健康指导。</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（7）对辖区65岁及以上老年人进行登记管理，进行健康危险因素调查和一般体格检查，开展健康指导。</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（8）对高血压、糖尿病等慢性病高危人群进行指导，对确诊高血压、糖尿病等慢性病病例进行登记管理、定期随访和健康指导。</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（9）对辖区重性精神疾病患者进行登记管理、治疗随访和康复指导。</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（10）负责辖区内突发公共卫生事件的报告并协助处理。</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（11）做好卫生行政部门规定的其他公共卫生服务。</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lang w:eastAsia="zh-CN"/>
        </w:rPr>
      </w:pPr>
      <w:r>
        <w:rPr>
          <w:rFonts w:ascii="仿宋" w:eastAsia="仿宋" w:hAnsi="仿宋" w:cs="仿宋" w:hint="eastAsia"/>
          <w:kern w:val="0"/>
          <w:sz w:val="32"/>
          <w:szCs w:val="32"/>
        </w:rPr>
        <w:t>2.提供基本医疗服务</w:t>
      </w:r>
      <w:r>
        <w:rPr>
          <w:rFonts w:ascii="仿宋" w:eastAsia="仿宋" w:hAnsi="仿宋" w:cs="仿宋" w:hint="eastAsia"/>
          <w:kern w:val="0"/>
          <w:sz w:val="32"/>
          <w:szCs w:val="32"/>
          <w:lang w:eastAsia="zh-CN"/>
        </w:rPr>
        <w:t>。</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（1）使用农村适宜医疗技术和中医药技术，正确处理常见病、多发病，对疑难重症进行恰当的处理并转诊。承担乡村现场应急救护、转诊服务和康复服务。</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（2）健全消毒、隔离制度，遵守无菌操作规程，加强医疗质量管理。做好医疗废物处理和污水、污物无害化处理。</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（3）执行国家基本药物制度药品集中采购、零差率销售等政策，为实施一体化管理的村卫生室统一代购药品。</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（4）提供政府卫生行政部门批准的其他适宜的医疗服务。</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lang w:eastAsia="zh-CN"/>
        </w:rPr>
      </w:pPr>
      <w:r>
        <w:rPr>
          <w:rFonts w:ascii="仿宋" w:eastAsia="仿宋" w:hAnsi="仿宋" w:cs="仿宋" w:hint="eastAsia"/>
          <w:kern w:val="0"/>
          <w:sz w:val="32"/>
          <w:szCs w:val="32"/>
        </w:rPr>
        <w:t>3.承担公共卫生管理</w:t>
      </w:r>
      <w:r>
        <w:rPr>
          <w:rFonts w:ascii="仿宋" w:eastAsia="仿宋" w:hAnsi="仿宋" w:cs="仿宋" w:hint="eastAsia"/>
          <w:kern w:val="0"/>
          <w:sz w:val="32"/>
          <w:szCs w:val="32"/>
          <w:lang w:eastAsia="zh-CN"/>
        </w:rPr>
        <w:t>。</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（1）对辖区内传染病防治、学校卫生、食品卫生、饮水卫生、职业卫生，以及村级预防保健工作进行指导、培训、考核与监督。</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（2）严格执行医保医疗政策规定，履行定点医疗机构职责，做好有关的政策宣传、监督及服务工作。</w:t>
      </w:r>
    </w:p>
    <w:p>
      <w:pPr>
        <w:pStyle w:val="28"/>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（3）深入推进乡村卫生服务一体化管理，对村卫生室实行以行政、人员、业务、药品、财产为基本内容的“五统一”规范管理；负责村卫生室的技术指导和乡村医生培训等工作。</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（二）2021年度重点工作任务介绍</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lang w:eastAsia="zh-CN"/>
        </w:rPr>
      </w:pPr>
      <w:r>
        <w:rPr>
          <w:rFonts w:ascii="仿宋" w:eastAsia="仿宋" w:hAnsi="仿宋" w:cs="仿宋" w:hint="eastAsia"/>
          <w:kern w:val="2"/>
          <w:sz w:val="32"/>
          <w:szCs w:val="32"/>
          <w:lang w:val="en-US" w:eastAsia="zh-CN"/>
        </w:rPr>
        <w:t>1.</w:t>
      </w:r>
      <w:r>
        <w:rPr>
          <w:rFonts w:ascii="仿宋" w:eastAsia="仿宋" w:hAnsi="仿宋" w:cs="仿宋" w:hint="eastAsia"/>
          <w:kern w:val="2"/>
          <w:sz w:val="32"/>
          <w:szCs w:val="32"/>
        </w:rPr>
        <w:t>业务工作量及收入情况</w:t>
      </w:r>
      <w:r>
        <w:rPr>
          <w:rFonts w:ascii="仿宋" w:eastAsia="仿宋" w:hAnsi="仿宋" w:cs="仿宋" w:hint="eastAsia"/>
          <w:kern w:val="2"/>
          <w:sz w:val="32"/>
          <w:szCs w:val="32"/>
          <w:lang w:eastAsia="zh-CN"/>
        </w:rPr>
        <w:t>。</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rPr>
      </w:pPr>
      <w:r>
        <w:rPr>
          <w:rFonts w:ascii="仿宋" w:eastAsia="仿宋" w:hAnsi="仿宋" w:cs="仿宋" w:hint="eastAsia"/>
          <w:kern w:val="2"/>
          <w:sz w:val="32"/>
          <w:szCs w:val="32"/>
        </w:rPr>
        <w:t>2021年1—12月完成总收入855</w:t>
      </w:r>
      <w:r>
        <w:rPr>
          <w:rFonts w:ascii="仿宋" w:eastAsia="仿宋" w:hAnsi="仿宋" w:cs="仿宋" w:hint="eastAsia"/>
          <w:kern w:val="2"/>
          <w:sz w:val="32"/>
          <w:szCs w:val="32"/>
          <w:lang w:val="en-US" w:eastAsia="zh-CN"/>
        </w:rPr>
        <w:t>.</w:t>
      </w:r>
      <w:r>
        <w:rPr>
          <w:rFonts w:ascii="仿宋" w:eastAsia="仿宋" w:hAnsi="仿宋" w:cs="仿宋" w:hint="eastAsia"/>
          <w:kern w:val="2"/>
          <w:sz w:val="32"/>
          <w:szCs w:val="32"/>
        </w:rPr>
        <w:t>87</w:t>
      </w:r>
      <w:r>
        <w:rPr>
          <w:rFonts w:ascii="仿宋" w:eastAsia="仿宋" w:hAnsi="仿宋" w:cs="仿宋" w:hint="eastAsia"/>
          <w:kern w:val="2"/>
          <w:sz w:val="32"/>
          <w:szCs w:val="32"/>
          <w:lang w:eastAsia="zh-CN"/>
        </w:rPr>
        <w:t>万</w:t>
      </w:r>
      <w:r>
        <w:rPr>
          <w:rFonts w:ascii="仿宋" w:eastAsia="仿宋" w:hAnsi="仿宋" w:cs="仿宋" w:hint="eastAsia"/>
          <w:kern w:val="2"/>
          <w:sz w:val="32"/>
          <w:szCs w:val="32"/>
        </w:rPr>
        <w:t>元。业务收入：378</w:t>
      </w:r>
      <w:r>
        <w:rPr>
          <w:rFonts w:ascii="仿宋" w:eastAsia="仿宋" w:hAnsi="仿宋" w:cs="仿宋" w:hint="eastAsia"/>
          <w:kern w:val="2"/>
          <w:sz w:val="32"/>
          <w:szCs w:val="32"/>
          <w:lang w:val="en-US" w:eastAsia="zh-CN"/>
        </w:rPr>
        <w:t>.</w:t>
      </w:r>
      <w:r>
        <w:rPr>
          <w:rFonts w:ascii="仿宋" w:eastAsia="仿宋" w:hAnsi="仿宋" w:cs="仿宋" w:hint="eastAsia"/>
          <w:kern w:val="2"/>
          <w:sz w:val="32"/>
          <w:szCs w:val="32"/>
        </w:rPr>
        <w:t>87</w:t>
      </w:r>
      <w:r>
        <w:rPr>
          <w:rFonts w:ascii="仿宋" w:eastAsia="仿宋" w:hAnsi="仿宋" w:cs="仿宋" w:hint="eastAsia"/>
          <w:kern w:val="2"/>
          <w:sz w:val="32"/>
          <w:szCs w:val="32"/>
          <w:lang w:eastAsia="zh-CN"/>
        </w:rPr>
        <w:t>万</w:t>
      </w:r>
      <w:r>
        <w:rPr>
          <w:rFonts w:ascii="仿宋" w:eastAsia="仿宋" w:hAnsi="仿宋" w:cs="仿宋" w:hint="eastAsia"/>
          <w:kern w:val="2"/>
          <w:sz w:val="32"/>
          <w:szCs w:val="32"/>
        </w:rPr>
        <w:t>元。其中：医疗收入378</w:t>
      </w:r>
      <w:r>
        <w:rPr>
          <w:rFonts w:ascii="仿宋" w:eastAsia="仿宋" w:hAnsi="仿宋" w:cs="仿宋" w:hint="eastAsia"/>
          <w:kern w:val="2"/>
          <w:sz w:val="32"/>
          <w:szCs w:val="32"/>
          <w:lang w:val="en-US" w:eastAsia="zh-CN"/>
        </w:rPr>
        <w:t>.</w:t>
      </w:r>
      <w:r>
        <w:rPr>
          <w:rFonts w:ascii="仿宋" w:eastAsia="仿宋" w:hAnsi="仿宋" w:cs="仿宋" w:hint="eastAsia"/>
          <w:kern w:val="2"/>
          <w:sz w:val="32"/>
          <w:szCs w:val="32"/>
        </w:rPr>
        <w:t>87</w:t>
      </w:r>
      <w:r>
        <w:rPr>
          <w:rFonts w:ascii="仿宋" w:eastAsia="仿宋" w:hAnsi="仿宋" w:cs="仿宋" w:hint="eastAsia"/>
          <w:kern w:val="2"/>
          <w:sz w:val="32"/>
          <w:szCs w:val="32"/>
          <w:lang w:eastAsia="zh-CN"/>
        </w:rPr>
        <w:t>万</w:t>
      </w:r>
      <w:r>
        <w:rPr>
          <w:rFonts w:ascii="仿宋" w:eastAsia="仿宋" w:hAnsi="仿宋" w:cs="仿宋" w:hint="eastAsia"/>
          <w:kern w:val="2"/>
          <w:sz w:val="32"/>
          <w:szCs w:val="32"/>
        </w:rPr>
        <w:t>元，药品收入253</w:t>
      </w:r>
      <w:r>
        <w:rPr>
          <w:rFonts w:ascii="仿宋" w:eastAsia="仿宋" w:hAnsi="仿宋" w:cs="仿宋" w:hint="eastAsia"/>
          <w:kern w:val="2"/>
          <w:sz w:val="32"/>
          <w:szCs w:val="32"/>
          <w:lang w:val="en-US" w:eastAsia="zh-CN"/>
        </w:rPr>
        <w:t>.</w:t>
      </w:r>
      <w:r>
        <w:rPr>
          <w:rFonts w:ascii="仿宋" w:eastAsia="仿宋" w:hAnsi="仿宋" w:cs="仿宋" w:hint="eastAsia"/>
          <w:kern w:val="2"/>
          <w:sz w:val="32"/>
          <w:szCs w:val="32"/>
        </w:rPr>
        <w:t>12</w:t>
      </w:r>
      <w:r>
        <w:rPr>
          <w:rFonts w:ascii="仿宋" w:eastAsia="仿宋" w:hAnsi="仿宋" w:cs="仿宋" w:hint="eastAsia"/>
          <w:kern w:val="2"/>
          <w:sz w:val="32"/>
          <w:szCs w:val="32"/>
          <w:lang w:eastAsia="zh-CN"/>
        </w:rPr>
        <w:t>万</w:t>
      </w:r>
      <w:r>
        <w:rPr>
          <w:rFonts w:ascii="仿宋" w:eastAsia="仿宋" w:hAnsi="仿宋" w:cs="仿宋" w:hint="eastAsia"/>
          <w:kern w:val="2"/>
          <w:sz w:val="32"/>
          <w:szCs w:val="32"/>
        </w:rPr>
        <w:t>元，其中中药收入1</w:t>
      </w:r>
      <w:r>
        <w:rPr>
          <w:rFonts w:ascii="仿宋" w:eastAsia="仿宋" w:hAnsi="仿宋" w:cs="仿宋" w:hint="eastAsia"/>
          <w:kern w:val="2"/>
          <w:sz w:val="32"/>
          <w:szCs w:val="32"/>
          <w:lang w:val="en-US" w:eastAsia="zh-CN"/>
        </w:rPr>
        <w:t>.</w:t>
      </w:r>
      <w:r>
        <w:rPr>
          <w:rFonts w:ascii="仿宋" w:eastAsia="仿宋" w:hAnsi="仿宋" w:cs="仿宋" w:hint="eastAsia"/>
          <w:kern w:val="2"/>
          <w:sz w:val="32"/>
          <w:szCs w:val="32"/>
        </w:rPr>
        <w:t>68</w:t>
      </w:r>
      <w:r>
        <w:rPr>
          <w:rFonts w:ascii="仿宋" w:eastAsia="仿宋" w:hAnsi="仿宋" w:cs="仿宋" w:hint="eastAsia"/>
          <w:kern w:val="2"/>
          <w:sz w:val="32"/>
          <w:szCs w:val="32"/>
          <w:lang w:eastAsia="zh-CN"/>
        </w:rPr>
        <w:t>万</w:t>
      </w:r>
      <w:r>
        <w:rPr>
          <w:rFonts w:ascii="仿宋" w:eastAsia="仿宋" w:hAnsi="仿宋" w:cs="仿宋" w:hint="eastAsia"/>
          <w:kern w:val="2"/>
          <w:sz w:val="32"/>
          <w:szCs w:val="32"/>
        </w:rPr>
        <w:t>元，完成门诊68</w:t>
      </w:r>
      <w:r>
        <w:rPr>
          <w:rFonts w:ascii="仿宋" w:eastAsia="仿宋" w:hAnsi="仿宋" w:cs="仿宋" w:hint="eastAsia"/>
          <w:kern w:val="2"/>
          <w:sz w:val="32"/>
          <w:szCs w:val="32"/>
          <w:lang w:val="en-US" w:eastAsia="zh-CN"/>
        </w:rPr>
        <w:t>,</w:t>
      </w:r>
      <w:r>
        <w:rPr>
          <w:rFonts w:ascii="仿宋" w:eastAsia="仿宋" w:hAnsi="仿宋" w:cs="仿宋" w:hint="eastAsia"/>
          <w:kern w:val="2"/>
          <w:sz w:val="32"/>
          <w:szCs w:val="32"/>
        </w:rPr>
        <w:t>346人次、住院17人次。（以上数据统计为2021年1月至12月综合门诊和6个卫生所）。</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lang w:eastAsia="zh-CN"/>
        </w:rPr>
      </w:pPr>
      <w:r>
        <w:rPr>
          <w:rFonts w:ascii="仿宋" w:eastAsia="仿宋" w:hAnsi="仿宋" w:cs="仿宋" w:hint="eastAsia"/>
          <w:kern w:val="2"/>
          <w:sz w:val="32"/>
          <w:szCs w:val="32"/>
        </w:rPr>
        <w:t>2.对卫生所管理方面</w:t>
      </w:r>
      <w:r>
        <w:rPr>
          <w:rFonts w:ascii="仿宋" w:eastAsia="仿宋" w:hAnsi="仿宋" w:cs="仿宋" w:hint="eastAsia"/>
          <w:kern w:val="2"/>
          <w:sz w:val="32"/>
          <w:szCs w:val="32"/>
          <w:lang w:eastAsia="zh-CN"/>
        </w:rPr>
        <w:t>。</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rPr>
      </w:pPr>
      <w:r>
        <w:rPr>
          <w:rFonts w:ascii="仿宋" w:eastAsia="仿宋" w:hAnsi="仿宋" w:cs="仿宋" w:hint="eastAsia"/>
          <w:kern w:val="2"/>
          <w:sz w:val="32"/>
          <w:szCs w:val="32"/>
        </w:rPr>
        <w:t>（1）根据县镇村一体化管理工作部署及安排。右所分院对辖区内6家卫生所全面实施了一体化管理，规范了镇、村医疗机构业务、财务、行政管理行为。</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rPr>
      </w:pPr>
      <w:r>
        <w:rPr>
          <w:rFonts w:ascii="仿宋" w:eastAsia="仿宋" w:hAnsi="仿宋" w:cs="仿宋" w:hint="eastAsia"/>
          <w:kern w:val="2"/>
          <w:sz w:val="32"/>
          <w:szCs w:val="32"/>
        </w:rPr>
        <w:t xml:space="preserve">（2）市卫健局党政领导班子到分院辖区内所有卫生所进行各项业务指导，对进一步加强和巩固镇村一体化管理奠定了基础。 </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lang w:eastAsia="zh-CN"/>
        </w:rPr>
      </w:pPr>
      <w:r>
        <w:rPr>
          <w:rFonts w:ascii="仿宋" w:eastAsia="仿宋" w:hAnsi="仿宋" w:cs="仿宋" w:hint="eastAsia"/>
          <w:kern w:val="2"/>
          <w:sz w:val="32"/>
          <w:szCs w:val="32"/>
        </w:rPr>
        <w:t>3.基础设施、设备投资建设情况</w:t>
      </w:r>
      <w:r>
        <w:rPr>
          <w:rFonts w:ascii="仿宋" w:eastAsia="仿宋" w:hAnsi="仿宋" w:cs="仿宋" w:hint="eastAsia"/>
          <w:kern w:val="2"/>
          <w:sz w:val="32"/>
          <w:szCs w:val="32"/>
          <w:lang w:eastAsia="zh-CN"/>
        </w:rPr>
        <w:t>。</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rPr>
      </w:pPr>
      <w:r>
        <w:rPr>
          <w:rFonts w:ascii="仿宋" w:eastAsia="仿宋" w:hAnsi="仿宋" w:cs="仿宋" w:hint="eastAsia"/>
          <w:kern w:val="2"/>
          <w:sz w:val="32"/>
          <w:szCs w:val="32"/>
        </w:rPr>
        <w:t>(1)新建右所镇发热诊室。一年来疫情形势极为严峻，为切实发挥卫生院疫情“早发现”的哨点作用，确实做好卫生院预检分诊、留观隔离、疫情防控工作，2021年9月我院投入17</w:t>
      </w:r>
      <w:r>
        <w:rPr>
          <w:rFonts w:ascii="仿宋" w:eastAsia="仿宋" w:hAnsi="仿宋" w:cs="仿宋" w:hint="eastAsia"/>
          <w:kern w:val="2"/>
          <w:sz w:val="32"/>
          <w:szCs w:val="32"/>
          <w:lang w:val="en-US" w:eastAsia="zh-CN"/>
        </w:rPr>
        <w:t>.00</w:t>
      </w:r>
      <w:r>
        <w:rPr>
          <w:rFonts w:ascii="仿宋" w:eastAsia="仿宋" w:hAnsi="仿宋" w:cs="仿宋" w:hint="eastAsia"/>
          <w:kern w:val="2"/>
          <w:sz w:val="32"/>
          <w:szCs w:val="32"/>
        </w:rPr>
        <w:t>万元，新建100</w:t>
      </w:r>
      <w:r>
        <w:rPr>
          <w:rFonts w:ascii="仿宋" w:eastAsia="仿宋" w:hAnsi="仿宋" w:cs="仿宋" w:hint="eastAsia"/>
          <w:kern w:val="2"/>
          <w:sz w:val="32"/>
          <w:szCs w:val="32"/>
          <w:lang w:val="en-US" w:eastAsia="zh-CN"/>
        </w:rPr>
        <w:t>平方米</w:t>
      </w:r>
      <w:r>
        <w:rPr>
          <w:rFonts w:ascii="仿宋" w:eastAsia="仿宋" w:hAnsi="仿宋" w:cs="仿宋" w:hint="eastAsia"/>
          <w:kern w:val="2"/>
          <w:sz w:val="32"/>
          <w:szCs w:val="32"/>
        </w:rPr>
        <w:t>左右的发热门诊，2021年10月已全面投入使用。</w:t>
      </w:r>
    </w:p>
    <w:p>
      <w:pPr>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90" w:lineRule="exact"/>
        <w:ind w:left="0" w:right="0" w:firstLine="640" w:leftChars="0" w:rightChars="0" w:firstLineChars="200"/>
        <w:jc w:val="both"/>
        <w:textAlignment w:val="auto"/>
        <w:rPr>
          <w:rFonts w:ascii="仿宋" w:eastAsia="仿宋" w:hAnsi="仿宋" w:cs="仿宋" w:hint="eastAsia"/>
          <w:kern w:val="2"/>
          <w:sz w:val="32"/>
          <w:szCs w:val="32"/>
        </w:rPr>
      </w:pPr>
      <w:r>
        <w:rPr>
          <w:rFonts w:ascii="仿宋" w:eastAsia="仿宋" w:hAnsi="仿宋" w:cs="仿宋" w:hint="eastAsia"/>
          <w:kern w:val="2"/>
          <w:sz w:val="32"/>
          <w:szCs w:val="32"/>
        </w:rPr>
        <w:t>(2)新建右所镇核酸采样点。当前新冠肺炎疫情防控虽取得决定性成果，但外防输入、内防反弹的任务依然繁重而艰巨。为充分发挥核酸检测的疫情监测作用，确实做好卫生院核酸采样疫情防控等工作，2021年11月我院计划投入1.5</w:t>
      </w:r>
      <w:r>
        <w:rPr>
          <w:rFonts w:ascii="仿宋" w:eastAsia="仿宋" w:hAnsi="仿宋" w:cs="仿宋" w:hint="eastAsia"/>
          <w:kern w:val="2"/>
          <w:sz w:val="32"/>
          <w:szCs w:val="32"/>
          <w:lang w:val="en-US" w:eastAsia="zh-CN"/>
        </w:rPr>
        <w:t>0</w:t>
      </w:r>
      <w:r>
        <w:rPr>
          <w:rFonts w:ascii="仿宋" w:eastAsia="仿宋" w:hAnsi="仿宋" w:cs="仿宋" w:hint="eastAsia"/>
          <w:kern w:val="2"/>
          <w:sz w:val="32"/>
          <w:szCs w:val="32"/>
        </w:rPr>
        <w:t>万元，新建面积约10</w:t>
      </w:r>
      <w:r>
        <w:rPr>
          <w:rFonts w:ascii="仿宋" w:eastAsia="仿宋" w:hAnsi="仿宋" w:cs="仿宋" w:hint="eastAsia"/>
          <w:kern w:val="2"/>
          <w:sz w:val="32"/>
          <w:szCs w:val="32"/>
          <w:lang w:eastAsia="zh-CN"/>
        </w:rPr>
        <w:t>平方米</w:t>
      </w:r>
      <w:r>
        <w:rPr>
          <w:rFonts w:ascii="仿宋" w:eastAsia="仿宋" w:hAnsi="仿宋" w:cs="仿宋" w:hint="eastAsia"/>
          <w:kern w:val="2"/>
          <w:sz w:val="32"/>
          <w:szCs w:val="32"/>
        </w:rPr>
        <w:t>左右的采样点。</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二、部门基本情况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（一）部门决算单位构成</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纳入澄江市</w:t>
      </w:r>
      <w:r>
        <w:rPr>
          <w:rFonts w:ascii="仿宋" w:eastAsia="仿宋" w:hAnsi="仿宋" w:cs="仿宋" w:hint="eastAsia"/>
          <w:kern w:val="0"/>
          <w:sz w:val="32"/>
          <w:szCs w:val="32"/>
          <w:lang w:eastAsia="zh-CN"/>
        </w:rPr>
        <w:t>右所</w:t>
      </w:r>
      <w:r>
        <w:rPr>
          <w:rFonts w:ascii="仿宋" w:eastAsia="仿宋" w:hAnsi="仿宋" w:cs="仿宋" w:hint="eastAsia"/>
          <w:kern w:val="0"/>
          <w:sz w:val="32"/>
          <w:szCs w:val="32"/>
        </w:rPr>
        <w:t>卫生院2021年度部门决算编报的单位共1个。其中：行政单位0个，参照公务员法管理的事业单位0个，其他事业单位1个。分别是：澄江市右所卫生院。</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（二）部门人员和车辆的编制及实有情况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宋体" w:eastAsia="宋体" w:hAnsi="宋体" w:cs="宋体" w:hint="eastAsia"/>
          <w:kern w:val="0"/>
          <w:sz w:val="24"/>
          <w:szCs w:val="24"/>
        </w:rPr>
      </w:pPr>
      <w:r>
        <w:rPr>
          <w:rFonts w:ascii="仿宋" w:eastAsia="仿宋" w:hAnsi="仿宋" w:cs="仿宋" w:hint="eastAsia"/>
          <w:kern w:val="0"/>
          <w:sz w:val="32"/>
          <w:szCs w:val="32"/>
        </w:rPr>
        <w:t>澄江市右所卫生院2021年末实有人员编制33人。其中：行政编制0人（含行政工勤编制0人），事业编制33人（含参公管理事业编制0人）；在职在编实有行政人员0人（含行政工勤人员0人），事业人员33人（含参公管理事业人员0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离退休人员5人。其中：离休0人，退休5人。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实有车辆编制0辆，在编实有车辆0辆，实有车辆3辆。</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宋体" w:eastAsia="宋体" w:hAnsi="宋体" w:cs="宋体" w:hint="eastAsia"/>
          <w:kern w:val="0"/>
          <w:sz w:val="24"/>
          <w:szCs w:val="24"/>
        </w:rPr>
      </w:pPr>
      <w:r>
        <w:rPr>
          <w:rFonts w:ascii="仿宋" w:eastAsia="仿宋" w:hAnsi="仿宋" w:cs="仿宋" w:hint="eastAsia"/>
          <w:kern w:val="0"/>
          <w:sz w:val="32"/>
          <w:szCs w:val="32"/>
        </w:rPr>
        <w:t xml:space="preserve"> </w:t>
      </w: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jc w:val="center"/>
        <w:textAlignment w:val="auto"/>
        <w:rPr>
          <w:rFonts w:ascii="黑体" w:eastAsia="黑体" w:hAnsi="宋体" w:cs="黑体" w:hint="eastAsia"/>
          <w:kern w:val="0"/>
          <w:sz w:val="36"/>
          <w:szCs w:val="36"/>
        </w:rPr>
      </w:pPr>
      <w:r>
        <w:rPr>
          <w:rFonts w:ascii="黑体" w:eastAsia="黑体" w:hAnsi="宋体" w:cs="黑体" w:hint="eastAsia"/>
          <w:kern w:val="0"/>
          <w:sz w:val="36"/>
          <w:szCs w:val="36"/>
        </w:rPr>
        <w:t>第二部分  2021年度部门决算表</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0"/>
        <w:jc w:val="center"/>
        <w:textAlignment w:val="auto"/>
        <w:rPr>
          <w:rFonts w:ascii="仿宋" w:eastAsia="仿宋" w:hAnsi="仿宋" w:cs="仿宋" w:hint="eastAsia"/>
          <w:kern w:val="0"/>
          <w:sz w:val="32"/>
          <w:szCs w:val="32"/>
        </w:rPr>
      </w:pPr>
      <w:r>
        <w:rPr>
          <w:rFonts w:ascii="仿宋" w:eastAsia="仿宋" w:hAnsi="仿宋" w:cs="仿宋" w:hint="eastAsia"/>
          <w:kern w:val="0"/>
          <w:sz w:val="32"/>
          <w:szCs w:val="32"/>
        </w:rPr>
        <w:t>（详见附件）</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澄江市右所卫生院没有政府性基金收入，也没有使用政府性基金安排的支出，故《政府性基金预算财政拨款收入支出决算表》无数据。</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方正仿宋_GBK" w:eastAsia="方正仿宋_GBK" w:hAnsi="方正仿宋_GBK" w:cs="方正仿宋_GBK" w:hint="eastAsia"/>
          <w:kern w:val="0"/>
          <w:sz w:val="32"/>
          <w:szCs w:val="32"/>
        </w:rPr>
      </w:pPr>
      <w:r>
        <w:rPr>
          <w:rFonts w:ascii="仿宋" w:eastAsia="仿宋" w:hAnsi="仿宋" w:cs="仿宋" w:hint="eastAsia"/>
          <w:kern w:val="0"/>
          <w:sz w:val="32"/>
          <w:szCs w:val="32"/>
        </w:rPr>
        <w:t>澄江市右所卫生院没有国有资本经营收入，也没有使用国有资本经营安排的支出，故《国有资本经营预算财政拨款收入支出决算表》无数据。</w:t>
      </w:r>
      <w:r>
        <w:rPr>
          <w:rFonts w:ascii="方正仿宋_GBK" w:eastAsia="方正仿宋_GBK" w:hAnsi="方正仿宋_GBK" w:cs="方正仿宋_GBK" w:hint="eastAsia"/>
          <w:kern w:val="0"/>
          <w:sz w:val="32"/>
          <w:szCs w:val="32"/>
        </w:rPr>
        <w:t xml:space="preserve"> </w:t>
      </w:r>
    </w:p>
    <w:p>
      <w:pPr>
        <w:pStyle w:val="NormalIndent"/>
        <w:keepNext w:val="0"/>
        <w:keepLines w:val="0"/>
        <w:pageBreakBefore w:val="0"/>
        <w:kinsoku/>
        <w:wordWrap/>
        <w:overflowPunct/>
        <w:bidi w:val="0"/>
        <w:adjustRightInd/>
        <w:spacing w:beforeAutospacing="0" w:afterAutospacing="0" w:line="590" w:lineRule="exact"/>
        <w:textAlignment w:val="auto"/>
        <w:rPr>
          <w:rFonts w:hint="eastAsia"/>
        </w:rPr>
      </w:pP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jc w:val="center"/>
        <w:textAlignment w:val="auto"/>
        <w:rPr>
          <w:rFonts w:ascii="黑体" w:eastAsia="黑体" w:hAnsi="宋体" w:cs="黑体" w:hint="eastAsia"/>
          <w:kern w:val="0"/>
          <w:sz w:val="36"/>
          <w:szCs w:val="36"/>
        </w:rPr>
      </w:pPr>
      <w:r>
        <w:rPr>
          <w:rFonts w:ascii="黑体" w:eastAsia="黑体" w:hAnsi="宋体" w:cs="黑体" w:hint="eastAsia"/>
          <w:kern w:val="0"/>
          <w:sz w:val="36"/>
          <w:szCs w:val="36"/>
        </w:rPr>
        <w:t>第三部分  2021年度部门决算情况说明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一、收入决算情况说明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右所卫生院2021年度收入合计1,309.58万元。其中：财政拨款收入769.06万元，占总收入的58.73%；上级补助收入0.00万元，占总收入的0.00%；事业收入511.35万元（含教育收费0.00万元），占总收入的39.05%；经营收入0.00万元，占总收入的0.00%；附属单位缴款收入0.00万元，占总收入的0.00%；其他收入29.17万元，占总收入的2.23%。与上年对比本年收入减少53.96万元，</w:t>
      </w:r>
      <w:r>
        <w:rPr>
          <w:rFonts w:ascii="仿宋" w:eastAsia="仿宋" w:hAnsi="仿宋" w:cs="仿宋" w:hint="eastAsia"/>
          <w:kern w:val="0"/>
          <w:sz w:val="32"/>
          <w:szCs w:val="32"/>
          <w:lang w:eastAsia="zh-CN"/>
        </w:rPr>
        <w:t>下降</w:t>
      </w:r>
      <w:r>
        <w:rPr>
          <w:rFonts w:ascii="仿宋" w:eastAsia="仿宋" w:hAnsi="仿宋" w:cs="仿宋" w:hint="eastAsia"/>
          <w:kern w:val="0"/>
          <w:sz w:val="32"/>
          <w:szCs w:val="32"/>
        </w:rPr>
        <w:t>3.95%，其中：财政拨款收入增加120.26万元，</w:t>
      </w:r>
      <w:r>
        <w:rPr>
          <w:rFonts w:ascii="仿宋" w:eastAsia="仿宋" w:hAnsi="仿宋" w:cs="仿宋" w:hint="eastAsia"/>
          <w:color w:val="auto"/>
          <w:kern w:val="0"/>
          <w:sz w:val="32"/>
          <w:szCs w:val="32"/>
          <w:lang w:eastAsia="zh-CN"/>
        </w:rPr>
        <w:t>同比增长</w:t>
      </w:r>
      <w:r>
        <w:rPr>
          <w:rFonts w:ascii="仿宋" w:eastAsia="仿宋" w:hAnsi="仿宋" w:cs="仿宋" w:hint="eastAsia"/>
          <w:color w:val="auto"/>
          <w:kern w:val="0"/>
          <w:sz w:val="32"/>
          <w:szCs w:val="32"/>
          <w:lang w:val="en-US" w:eastAsia="zh-CN"/>
        </w:rPr>
        <w:t>18.53%；</w:t>
      </w:r>
      <w:r>
        <w:rPr>
          <w:rFonts w:ascii="仿宋" w:eastAsia="仿宋" w:hAnsi="仿宋" w:cs="仿宋" w:hint="eastAsia"/>
          <w:kern w:val="0"/>
          <w:sz w:val="32"/>
          <w:szCs w:val="32"/>
        </w:rPr>
        <w:t>事业收入增加27.78万元，</w:t>
      </w:r>
      <w:r>
        <w:rPr>
          <w:rFonts w:ascii="仿宋" w:eastAsia="仿宋" w:hAnsi="仿宋" w:cs="仿宋" w:hint="eastAsia"/>
          <w:color w:val="auto"/>
          <w:kern w:val="0"/>
          <w:sz w:val="32"/>
          <w:szCs w:val="32"/>
          <w:lang w:eastAsia="zh-CN"/>
        </w:rPr>
        <w:t>同比增长</w:t>
      </w:r>
      <w:r>
        <w:rPr>
          <w:rFonts w:ascii="仿宋" w:eastAsia="仿宋" w:hAnsi="仿宋" w:cs="仿宋" w:hint="eastAsia"/>
          <w:color w:val="auto"/>
          <w:kern w:val="0"/>
          <w:sz w:val="32"/>
          <w:szCs w:val="32"/>
          <w:lang w:val="en-US" w:eastAsia="zh-CN"/>
        </w:rPr>
        <w:t>5.74%,</w:t>
      </w:r>
      <w:r>
        <w:rPr>
          <w:rFonts w:ascii="仿宋" w:eastAsia="仿宋" w:hAnsi="仿宋" w:cs="仿宋" w:hint="eastAsia"/>
          <w:kern w:val="0"/>
          <w:sz w:val="32"/>
          <w:szCs w:val="32"/>
        </w:rPr>
        <w:t>其他收入减少201.99万元</w:t>
      </w:r>
      <w:r>
        <w:rPr>
          <w:rFonts w:ascii="仿宋" w:eastAsia="仿宋" w:hAnsi="仿宋" w:cs="仿宋" w:hint="eastAsia"/>
          <w:kern w:val="0"/>
          <w:sz w:val="32"/>
          <w:szCs w:val="32"/>
          <w:lang w:val="en-US" w:eastAsia="zh-CN"/>
        </w:rPr>
        <w:t>,同比下降65.29%</w:t>
      </w:r>
      <w:r>
        <w:rPr>
          <w:rFonts w:ascii="仿宋" w:eastAsia="仿宋" w:hAnsi="仿宋" w:cs="仿宋" w:hint="eastAsia"/>
          <w:kern w:val="0"/>
          <w:sz w:val="32"/>
          <w:szCs w:val="32"/>
        </w:rPr>
        <w:t>。财政拨款收入增加主要原因是：基本公共卫生服务项目、基本药物制度补助资金项目财政补助收入增加。事业收入增加主要原因是：卫生院、辖区卫生所门诊、住院人次及诊疗收入增加。其他收入减少主要原因是：基本公共卫生服务项目资金、基本药物制度补助项目资金2020年由澄江市卫生健康局转拨列其他收入，2021年由澄江市财政拨入列财政拨款收入。</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宋体" w:eastAsia="宋体" w:hAnsi="宋体" w:cs="宋体" w:hint="eastAsia"/>
          <w:kern w:val="0"/>
          <w:sz w:val="24"/>
          <w:szCs w:val="24"/>
        </w:rPr>
      </w:pPr>
      <w:r>
        <w:rPr>
          <w:rFonts w:ascii="方正黑体_GBK" w:eastAsia="方正黑体_GBK" w:hAnsi="方正黑体_GBK" w:cs="方正黑体_GBK" w:hint="eastAsia"/>
          <w:kern w:val="0"/>
          <w:sz w:val="32"/>
          <w:szCs w:val="32"/>
        </w:rPr>
        <w:t>二、支出决算情况说明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右所卫生院2021年度支出合计1,428.03万元。其中：基本支出1,224.19万元，占总支出的85.73%；项目支出203.84万元，占总支出的14.27%；上缴上级支出、经营支出、对附属单位补助支出共0.00万元，占总支出的0.00%。与上年对比本年支出增加72.88万元，</w:t>
      </w:r>
      <w:r>
        <w:rPr>
          <w:rFonts w:ascii="仿宋" w:eastAsia="仿宋" w:hAnsi="仿宋" w:cs="仿宋" w:hint="eastAsia"/>
          <w:kern w:val="0"/>
          <w:sz w:val="32"/>
          <w:szCs w:val="32"/>
          <w:lang w:eastAsia="zh-CN"/>
        </w:rPr>
        <w:t>同比增长</w:t>
      </w:r>
      <w:r>
        <w:rPr>
          <w:rFonts w:ascii="仿宋" w:eastAsia="仿宋" w:hAnsi="仿宋" w:cs="仿宋" w:hint="eastAsia"/>
          <w:kern w:val="0"/>
          <w:sz w:val="32"/>
          <w:szCs w:val="32"/>
        </w:rPr>
        <w:t>5.37%，主要原因是卫生所改扩建、修缮支出增加。</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（一）基本支出情况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2021年度用于保障澄江市右所卫生院正常运转的日常支出1,224.19万元。与上年对比增加了83.9</w:t>
      </w:r>
      <w:r>
        <w:rPr>
          <w:rFonts w:ascii="仿宋" w:eastAsia="仿宋" w:hAnsi="仿宋" w:cs="仿宋" w:hint="eastAsia"/>
          <w:kern w:val="0"/>
          <w:sz w:val="32"/>
          <w:szCs w:val="32"/>
          <w:lang w:val="en-US" w:eastAsia="zh-CN"/>
        </w:rPr>
        <w:t>0</w:t>
      </w:r>
      <w:r>
        <w:rPr>
          <w:rFonts w:ascii="仿宋" w:eastAsia="仿宋" w:hAnsi="仿宋" w:cs="仿宋" w:hint="eastAsia"/>
          <w:kern w:val="0"/>
          <w:sz w:val="32"/>
          <w:szCs w:val="32"/>
        </w:rPr>
        <w:t>万元，</w:t>
      </w:r>
      <w:r>
        <w:rPr>
          <w:rFonts w:ascii="仿宋" w:eastAsia="仿宋" w:hAnsi="仿宋" w:cs="仿宋" w:hint="eastAsia"/>
          <w:kern w:val="0"/>
          <w:sz w:val="32"/>
          <w:szCs w:val="32"/>
          <w:lang w:eastAsia="zh-CN"/>
        </w:rPr>
        <w:t>同比增长</w:t>
      </w:r>
      <w:r>
        <w:rPr>
          <w:rFonts w:ascii="仿宋" w:eastAsia="仿宋" w:hAnsi="仿宋" w:cs="仿宋" w:hint="eastAsia"/>
          <w:kern w:val="0"/>
          <w:sz w:val="32"/>
          <w:szCs w:val="32"/>
        </w:rPr>
        <w:t>7.36%，主要原因是：卫生所改扩建、修缮支出增加。其中：基本工资、津贴补贴等人员经费支出589.97万元，占基本支出的48.19%；办公费、印刷费、水电费、办公设备购置等公用经费634.22万元，占基本支出的51.81%。</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（二）项目支出情况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2021年度用于保障澄江市右所卫生院机构、下属事业单位等机构为完成特定的行政工作任务或事业发展目标，用于专项业务工作的经费支出203.84万元。与上年对比减少11.02万元，</w:t>
      </w:r>
      <w:r>
        <w:rPr>
          <w:rFonts w:ascii="仿宋" w:eastAsia="仿宋" w:hAnsi="仿宋" w:cs="仿宋" w:hint="eastAsia"/>
          <w:kern w:val="0"/>
          <w:sz w:val="32"/>
          <w:szCs w:val="32"/>
          <w:lang w:eastAsia="zh-CN"/>
        </w:rPr>
        <w:t>同比下降</w:t>
      </w:r>
      <w:r>
        <w:rPr>
          <w:rFonts w:ascii="仿宋" w:eastAsia="仿宋" w:hAnsi="仿宋" w:cs="仿宋" w:hint="eastAsia"/>
          <w:kern w:val="0"/>
          <w:sz w:val="32"/>
          <w:szCs w:val="32"/>
        </w:rPr>
        <w:t>5.13%，主要原因分析由于疫情影响公卫工作开展。具体项目开支及开展工作情况：1</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委托业务费57.73万元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2</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福利费7.92万元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3</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其他交通费0.89万元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4</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印刷费1.04万元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5</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专用材料费50.51万元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6</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劳务费34.32万元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7</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其他商品和服务支出47.29万元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8</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对个人和家庭补助5.17万元。</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三、一般公共预算财政拨款支出决算情况说明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（一）一般公共预算财政拨款支出决算总体情况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澄江市右所卫生院2021年度一般公共预算财政拨款支出769.06万元，占本年支出合计的53.85%。与上年对比减少69.68万元，</w:t>
      </w:r>
      <w:r>
        <w:rPr>
          <w:rFonts w:ascii="仿宋" w:eastAsia="仿宋" w:hAnsi="仿宋" w:cs="仿宋" w:hint="eastAsia"/>
          <w:kern w:val="0"/>
          <w:sz w:val="32"/>
          <w:szCs w:val="32"/>
          <w:lang w:eastAsia="zh-CN"/>
        </w:rPr>
        <w:t>同比</w:t>
      </w:r>
      <w:r>
        <w:rPr>
          <w:rFonts w:ascii="仿宋" w:eastAsia="仿宋" w:hAnsi="仿宋" w:cs="仿宋" w:hint="eastAsia"/>
          <w:kern w:val="0"/>
          <w:sz w:val="32"/>
          <w:szCs w:val="32"/>
        </w:rPr>
        <w:t>下降8.31%，主要原因分析2021年一般公共预算财政拨款项目安排减少，人员较上年减少。</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宋体" w:eastAsia="宋体" w:hAnsi="宋体" w:cs="宋体" w:hint="eastAsia"/>
          <w:kern w:val="0"/>
          <w:sz w:val="24"/>
          <w:szCs w:val="24"/>
        </w:rPr>
      </w:pPr>
      <w:r>
        <w:rPr>
          <w:rFonts w:ascii="楷体" w:eastAsia="楷体" w:hAnsi="楷体" w:cs="楷体" w:hint="eastAsia"/>
          <w:kern w:val="0"/>
          <w:sz w:val="32"/>
          <w:szCs w:val="32"/>
        </w:rPr>
        <w:t>（二）一般公共预算财政拨款支出决算具体情况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1．一般公共服务（类）支出0.00万元，占一般公共预算财政拨款总支出的0.00%。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2．外交（类）支出0.00万元，占一般公共预算财政拨款总支出的0.00%。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3．国防（类）支出0.00万元，占一般公共预算财政拨款总支出的0.00%。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4．公共安全（类）支出0.00万元，占一般公共预算财政拨款总支出的0.00%。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5．教育（类）支出0.00万元，占一般公共预算财政拨款总支出的0.00%。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6．科学技术（类）支出0.00万元，占一般公共预算财政拨款总支出的0.00%。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7．文化旅游体育与传媒（类）支出0.00万元，占一般公共预算财政拨款总支出的0.00%。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8．社会保障和就业（类）支出56.97万元，占一般公共预算财政拨款总支出的7.41%。主要用于事业单位离退休支出13.5</w:t>
      </w:r>
      <w:r>
        <w:rPr>
          <w:rFonts w:ascii="仿宋" w:eastAsia="仿宋" w:hAnsi="仿宋" w:cs="仿宋" w:hint="eastAsia"/>
          <w:kern w:val="0"/>
          <w:sz w:val="32"/>
          <w:szCs w:val="32"/>
          <w:lang w:val="en-US" w:eastAsia="zh-CN"/>
        </w:rPr>
        <w:t>0</w:t>
      </w:r>
      <w:r>
        <w:rPr>
          <w:rFonts w:ascii="仿宋" w:eastAsia="仿宋" w:hAnsi="仿宋" w:cs="仿宋" w:hint="eastAsia"/>
          <w:kern w:val="0"/>
          <w:sz w:val="32"/>
          <w:szCs w:val="32"/>
        </w:rPr>
        <w:t>万元；机关事业单位基本养老保险缴费支出43.46万元。</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9．卫生健康（类）支出660.10万元，占一般公共预算财政拨款总支出的85.83%。主要用于乡镇卫生院支出455.35万元，其他基层医疗机构卫生支出29.72万元，基本公共卫生服务支出364.11万元，重大公共卫生服务支出123.92万元，事业单位医疗支出38.01万元，其他卫生健康支出7.92万元，其他医疗救助支出1.82万元。</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10．节能环保（类）支出0.00万元，占一般公共预算财政拨款总支出的0.00%。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11．城乡社区（类）支出0.00万元，占一般公共预算财政拨款总支出的0.00%。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12．农林水（类）支出0.00万元，占一般公共预算财政拨款总支出的0.00%。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13．交通运输（类）支出0.00万元，占一般公共预算财政拨款总支出的0.00%。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14．资源勘探工业信息等（类）支出类0.00万元，占一般公共预算财政拨款总支出的0.00%。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15．商业服务业等（类）支出0.00万元，占一般公共预算财政拨款总支出的0.00%。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16．金融（类）支出0.00万元，占一般公共预算财政拨款总支出的0.00%。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17．援助其他地区（类）支出0.00万元，占一般公共预算财政拨款总支出的0.00%。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18．自然资源海洋气象等（类）支出0.00万元，占一般公共预算财政拨款总支出的0.00%。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19．住房保障（类）支出51.99万元，占一般公共预算财政拨款总支出的6.76%。主要用于住房公积金支出48.39万元，房改补贴支出3.60万元。</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20．粮油物资储备（类）支出0.00万元，占一般公共预算财政拨款总支出的0.00%。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21．国有资本经营预算（类）支出0.00万元，占一般公共预算财政拨款总支出的0.00%。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22．灾害防治及应急管理（类）支出0.00万元，占一般公共预算财政拨款总支出的0.00%。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23．其他（类）支出0.00万元，占一般公共预算财政拨款总支出的0.00%。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24．债务还本（类）支出0.00万元，占一般公共预算财政拨款总支出的0.00%。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25．债务付息（类）支出0.00万元，占一般公共预算财政拨款总支出的0.00%。</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26．抗疫特别国债安排（类）支出0.00万元，占一般公共预算财政拨款总支出的0.00%。</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四、一般公共预算财政拨款“三公”经费支出决算情况说明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（一）一般公共预算财政拨款“三公”经费支出决算总体情况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右所卫生院2021年度一般公共预算财政拨款“三公”经费支出预算为0.00万元，支出决算为0.00万元，完成预算的0.00%。其中：因公出国（境）费支出决算为0.00万元，完成预算的0.00%；公务用车购置及运行费支出决算为0.00万元，完成预算的0.00%；公务接待费支出决算为0.00万元，完成预算的0.00%。2021年度一般公共预算财政拨款“三公”经费支出决算数等于预算数的主要原因是：2021年度一般公共预算财政拨款“三公”经费支出预算数、决算数均为零。</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2021年度一般公共预算财政拨款“三公”经费支出决算数比2020年增加0.00万元，增长0.00%。其中：因公出国（境）费支出决算增加0.00万元，增长0.00%；公务用车购置及运行费支出决算增加0.00万元，增长0.00%；公务接待费支出决算增加0.00万元，增长0.00%。2021年度一般公共预算财政拨款“三公”经费支出决算与上年对比无变化。</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(二)一般公共预算财政拨款“三公”经费支出决算具体情况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2021年度一般公共预算财政拨款“三公”经费支出决算中，因公出国（境）费支出0.00万元，占0.00%；公务用车购置及运行维护费支出0.00万元，占0.00%；公务接待费支出0.00万元，占0.00%。具体情况如下：</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1．因公出国（境）费</w:t>
      </w:r>
      <w:r>
        <w:rPr>
          <w:rFonts w:ascii="仿宋" w:eastAsia="仿宋" w:hAnsi="仿宋" w:cs="仿宋" w:hint="eastAsia"/>
          <w:kern w:val="0"/>
          <w:sz w:val="32"/>
          <w:szCs w:val="32"/>
        </w:rPr>
        <w:t>支出0.00万元，共安排因公出国（境）团组0个，累计0人次。</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2．公务用车购置及运行维护费</w:t>
      </w:r>
      <w:r>
        <w:rPr>
          <w:rFonts w:ascii="仿宋" w:eastAsia="仿宋" w:hAnsi="仿宋" w:cs="仿宋" w:hint="eastAsia"/>
          <w:kern w:val="0"/>
          <w:sz w:val="32"/>
          <w:szCs w:val="32"/>
        </w:rPr>
        <w:t>支出0.00万元。其中：</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公务用车购置</w:t>
      </w:r>
      <w:r>
        <w:rPr>
          <w:rFonts w:ascii="仿宋" w:eastAsia="仿宋" w:hAnsi="仿宋" w:cs="仿宋" w:hint="eastAsia"/>
          <w:kern w:val="0"/>
          <w:sz w:val="32"/>
          <w:szCs w:val="32"/>
        </w:rPr>
        <w:t>支出0.00万元，购置车辆0辆。</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公务用车运行维护</w:t>
      </w:r>
      <w:r>
        <w:rPr>
          <w:rFonts w:ascii="仿宋" w:eastAsia="仿宋" w:hAnsi="仿宋" w:cs="仿宋" w:hint="eastAsia"/>
          <w:kern w:val="0"/>
          <w:sz w:val="32"/>
          <w:szCs w:val="32"/>
        </w:rPr>
        <w:t>支出0.00万元，开支一般公共预算财政拨款的公务用车保有量为0辆</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我单位实有车辆3辆，车辆运行维护费未纳入财政预算，由单位自有资金开支</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3．公务接待费</w:t>
      </w:r>
      <w:r>
        <w:rPr>
          <w:rFonts w:ascii="仿宋" w:eastAsia="仿宋" w:hAnsi="仿宋" w:cs="仿宋" w:hint="eastAsia"/>
          <w:kern w:val="0"/>
          <w:sz w:val="32"/>
          <w:szCs w:val="32"/>
        </w:rPr>
        <w:t>支出0.00万元。其中：</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国内接待费</w:t>
      </w:r>
      <w:r>
        <w:rPr>
          <w:rFonts w:ascii="仿宋" w:eastAsia="仿宋" w:hAnsi="仿宋" w:cs="仿宋" w:hint="eastAsia"/>
          <w:kern w:val="0"/>
          <w:sz w:val="32"/>
          <w:szCs w:val="32"/>
        </w:rPr>
        <w:t>支出0.00万元（其中：外事接待费支出0.00万元），共安排国内公务接待0批次（其中：外事接待0批次），接待人次0人（其中：外事接待人次0人）。</w:t>
      </w:r>
    </w:p>
    <w:p>
      <w:pPr>
        <w:keepNext w:val="0"/>
        <w:keepLines w:val="0"/>
        <w:pageBreakBefore w:val="0"/>
        <w:widowControl/>
        <w:suppressLineNumbers w:val="0"/>
        <w:kinsoku/>
        <w:wordWrap/>
        <w:overflowPunct/>
        <w:topLinePunct/>
        <w:bidi w:val="0"/>
        <w:adjustRightInd/>
        <w:spacing w:beforeAutospacing="0" w:afterAutospacing="0" w:line="590" w:lineRule="exact"/>
        <w:ind w:left="0" w:firstLine="64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国（境）外接待费</w:t>
      </w:r>
      <w:r>
        <w:rPr>
          <w:rFonts w:ascii="仿宋" w:eastAsia="仿宋" w:hAnsi="仿宋" w:cs="仿宋" w:hint="eastAsia"/>
          <w:kern w:val="0"/>
          <w:sz w:val="32"/>
          <w:szCs w:val="32"/>
        </w:rPr>
        <w:t xml:space="preserve">支出0.00万元，共安排国（境）外公务接待0批次，接待人次0人。 </w:t>
      </w:r>
    </w:p>
    <w:p>
      <w:pPr>
        <w:pStyle w:val="NormalIndent"/>
        <w:keepNext w:val="0"/>
        <w:keepLines w:val="0"/>
        <w:pageBreakBefore w:val="0"/>
        <w:kinsoku/>
        <w:wordWrap/>
        <w:overflowPunct/>
        <w:bidi w:val="0"/>
        <w:adjustRightInd/>
        <w:spacing w:beforeAutospacing="0" w:afterAutospacing="0" w:line="590" w:lineRule="exact"/>
        <w:textAlignment w:val="auto"/>
        <w:rPr>
          <w:rFonts w:hint="eastAsia"/>
        </w:rPr>
      </w:pP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jc w:val="center"/>
        <w:textAlignment w:val="auto"/>
        <w:rPr>
          <w:rFonts w:ascii="方正小标宋_GBK" w:eastAsia="方正小标宋_GBK" w:hAnsi="方正小标宋_GBK" w:cs="方正小标宋_GBK" w:hint="eastAsia"/>
          <w:kern w:val="0"/>
          <w:sz w:val="36"/>
          <w:szCs w:val="36"/>
        </w:rPr>
      </w:pPr>
      <w:r>
        <w:rPr>
          <w:rFonts w:ascii="方正小标宋_GBK" w:eastAsia="方正小标宋_GBK" w:hAnsi="方正小标宋_GBK" w:cs="方正小标宋_GBK" w:hint="eastAsia"/>
          <w:kern w:val="0"/>
          <w:sz w:val="36"/>
          <w:szCs w:val="36"/>
        </w:rPr>
        <w:t>第四部分  其他重要事项及相关口径情况说明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一、机关运行经费支出情况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澄江市右所卫生院2021年机关运行经费支出0.00万元。</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方正黑体_GBK" w:eastAsia="方正黑体_GBK" w:hAnsi="方正黑体_GBK" w:cs="方正黑体_GBK" w:hint="eastAsia"/>
          <w:kern w:val="0"/>
          <w:sz w:val="32"/>
          <w:szCs w:val="32"/>
        </w:rPr>
      </w:pPr>
      <w:r>
        <w:rPr>
          <w:rFonts w:ascii="方正黑体_GBK" w:eastAsia="方正黑体_GBK" w:hAnsi="方正黑体_GBK" w:cs="方正黑体_GBK" w:hint="eastAsia"/>
          <w:kern w:val="0"/>
          <w:sz w:val="32"/>
          <w:szCs w:val="32"/>
        </w:rPr>
        <w:t>二、国有资产占用情况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截至2021年12月31日，澄江市右所卫生院资产总额</w:t>
      </w:r>
      <w:r>
        <w:rPr>
          <w:rFonts w:ascii="仿宋" w:eastAsia="仿宋" w:hAnsi="仿宋" w:cs="仿宋" w:hint="eastAsia"/>
          <w:kern w:val="0"/>
          <w:sz w:val="32"/>
          <w:szCs w:val="32"/>
          <w:lang w:val="en-US" w:eastAsia="zh-CN"/>
        </w:rPr>
        <w:t>1,019.37</w:t>
      </w:r>
      <w:r>
        <w:rPr>
          <w:rFonts w:ascii="仿宋" w:eastAsia="仿宋" w:hAnsi="仿宋" w:cs="仿宋" w:hint="eastAsia"/>
          <w:kern w:val="0"/>
          <w:sz w:val="32"/>
          <w:szCs w:val="32"/>
        </w:rPr>
        <w:t>万元，其中，流动资产190.62万元，固定资产</w:t>
      </w:r>
      <w:r>
        <w:rPr>
          <w:rFonts w:ascii="仿宋" w:eastAsia="仿宋" w:hAnsi="仿宋" w:cs="仿宋" w:hint="eastAsia"/>
          <w:kern w:val="0"/>
          <w:sz w:val="32"/>
          <w:szCs w:val="32"/>
          <w:lang w:val="en-US" w:eastAsia="zh-CN"/>
        </w:rPr>
        <w:t>823.59</w:t>
      </w:r>
      <w:r>
        <w:rPr>
          <w:rFonts w:ascii="仿宋" w:eastAsia="仿宋" w:hAnsi="仿宋" w:cs="仿宋" w:hint="eastAsia"/>
          <w:kern w:val="0"/>
          <w:sz w:val="32"/>
          <w:szCs w:val="32"/>
        </w:rPr>
        <w:t>万元，对外投资及有价证券0.00万元，在建工程0.00万元，无形资产</w:t>
      </w:r>
      <w:r>
        <w:rPr>
          <w:rFonts w:ascii="仿宋" w:eastAsia="仿宋" w:hAnsi="仿宋" w:cs="仿宋" w:hint="eastAsia"/>
          <w:kern w:val="0"/>
          <w:sz w:val="32"/>
          <w:szCs w:val="32"/>
          <w:lang w:val="en-US" w:eastAsia="zh-CN"/>
        </w:rPr>
        <w:t>5.17</w:t>
      </w:r>
      <w:r>
        <w:rPr>
          <w:rFonts w:ascii="仿宋" w:eastAsia="仿宋" w:hAnsi="仿宋" w:cs="仿宋" w:hint="eastAsia"/>
          <w:kern w:val="0"/>
          <w:sz w:val="32"/>
          <w:szCs w:val="32"/>
        </w:rPr>
        <w:t>万元，其他资产0.00万元（具体内容详见附表）。与上年相比，本年资产总额</w:t>
      </w:r>
      <w:r>
        <w:rPr>
          <w:rFonts w:ascii="仿宋" w:eastAsia="仿宋" w:hAnsi="仿宋" w:cs="仿宋" w:hint="eastAsia"/>
          <w:kern w:val="0"/>
          <w:sz w:val="32"/>
          <w:szCs w:val="32"/>
          <w:lang w:eastAsia="zh-CN"/>
        </w:rPr>
        <w:t>增加</w:t>
      </w:r>
      <w:r>
        <w:rPr>
          <w:rFonts w:ascii="仿宋" w:eastAsia="仿宋" w:hAnsi="仿宋" w:cs="仿宋" w:hint="eastAsia"/>
          <w:kern w:val="0"/>
          <w:sz w:val="32"/>
          <w:szCs w:val="32"/>
          <w:lang w:val="en-US" w:eastAsia="zh-CN"/>
        </w:rPr>
        <w:t>150.90</w:t>
      </w:r>
      <w:r>
        <w:rPr>
          <w:rFonts w:ascii="仿宋" w:eastAsia="仿宋" w:hAnsi="仿宋" w:cs="仿宋" w:hint="eastAsia"/>
          <w:kern w:val="0"/>
          <w:sz w:val="32"/>
          <w:szCs w:val="32"/>
        </w:rPr>
        <w:t>万元，其中固定资产</w:t>
      </w:r>
      <w:r>
        <w:rPr>
          <w:rFonts w:ascii="仿宋" w:eastAsia="仿宋" w:hAnsi="仿宋" w:cs="仿宋" w:hint="eastAsia"/>
          <w:kern w:val="0"/>
          <w:sz w:val="32"/>
          <w:szCs w:val="32"/>
          <w:lang w:eastAsia="zh-CN"/>
        </w:rPr>
        <w:t>增加</w:t>
      </w:r>
      <w:r>
        <w:rPr>
          <w:rFonts w:ascii="仿宋" w:eastAsia="仿宋" w:hAnsi="仿宋" w:cs="仿宋" w:hint="eastAsia"/>
          <w:kern w:val="0"/>
          <w:sz w:val="32"/>
          <w:szCs w:val="32"/>
          <w:lang w:val="en-US" w:eastAsia="zh-CN"/>
        </w:rPr>
        <w:t>61.64</w:t>
      </w:r>
      <w:r>
        <w:rPr>
          <w:rFonts w:ascii="仿宋" w:eastAsia="仿宋" w:hAnsi="仿宋" w:cs="仿宋" w:hint="eastAsia"/>
          <w:kern w:val="0"/>
          <w:sz w:val="32"/>
          <w:szCs w:val="32"/>
        </w:rPr>
        <w:t>万元。处置房屋建筑物0.00平方米，账面原值0.00万元；处置车辆0.00辆，账面原值0.00万元；报废报损资产0.00项，账面原值0.00万元，实现资产处置收入0.00万元；出租房屋0.00平方米，账面原值0.00万元，实现资产使用收入0.00万元。</w:t>
      </w:r>
    </w:p>
    <w:tbl>
      <w:tblPr>
        <w:tblStyle w:val="TableNormal"/>
        <w:tblW w:w="94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727"/>
        <w:gridCol w:w="489"/>
        <w:gridCol w:w="873"/>
        <w:gridCol w:w="729"/>
        <w:gridCol w:w="617"/>
        <w:gridCol w:w="740"/>
        <w:gridCol w:w="739"/>
        <w:gridCol w:w="822"/>
        <w:gridCol w:w="740"/>
        <w:gridCol w:w="740"/>
        <w:gridCol w:w="740"/>
        <w:gridCol w:w="740"/>
        <w:gridCol w:w="743"/>
      </w:tblGrid>
      <w:tr>
        <w:tblPrEx>
          <w:tblW w:w="94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518"/>
          <w:jc w:val="center"/>
        </w:trPr>
        <w:tc>
          <w:tcPr>
            <w:tcW w:w="9439" w:type="dxa"/>
            <w:gridSpan w:val="13"/>
            <w:tcBorders>
              <w:top w:val="nil"/>
              <w:left w:val="nil"/>
              <w:bottom w:val="nil"/>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serif" w:eastAsia="serif" w:hAnsi="serif" w:cs="serif" w:hint="default"/>
                <w:b/>
                <w:bCs/>
                <w:color w:val="000000"/>
                <w:kern w:val="0"/>
                <w:sz w:val="30"/>
                <w:szCs w:val="30"/>
              </w:rPr>
              <w:t>国有资产占有使用情况表</w:t>
            </w:r>
          </w:p>
        </w:tc>
      </w:tr>
      <w:tr>
        <w:tblPrEx>
          <w:tblW w:w="9439" w:type="dxa"/>
          <w:jc w:val="center"/>
          <w:tblInd w:w="0" w:type="dxa"/>
          <w:shd w:val="clear" w:color="auto" w:fill="auto"/>
          <w:tblLayout w:type="fixed"/>
          <w:tblCellMar>
            <w:top w:w="0" w:type="dxa"/>
            <w:left w:w="0" w:type="dxa"/>
            <w:bottom w:w="0" w:type="dxa"/>
            <w:right w:w="0" w:type="dxa"/>
          </w:tblCellMar>
        </w:tblPrEx>
        <w:trPr>
          <w:trHeight w:val="290"/>
          <w:jc w:val="center"/>
        </w:trPr>
        <w:tc>
          <w:tcPr>
            <w:tcW w:w="5736" w:type="dxa"/>
            <w:gridSpan w:val="8"/>
            <w:tcBorders>
              <w:top w:val="nil"/>
              <w:left w:val="nil"/>
              <w:bottom w:val="single" w:sz="4" w:space="0" w:color="auto"/>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w:t>
            </w:r>
          </w:p>
        </w:tc>
        <w:tc>
          <w:tcPr>
            <w:tcW w:w="740" w:type="dxa"/>
            <w:tcBorders>
              <w:top w:val="nil"/>
              <w:left w:val="nil"/>
              <w:bottom w:val="single" w:sz="4" w:space="0" w:color="auto"/>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w:t>
            </w:r>
          </w:p>
        </w:tc>
        <w:tc>
          <w:tcPr>
            <w:tcW w:w="2963" w:type="dxa"/>
            <w:gridSpan w:val="4"/>
            <w:tcBorders>
              <w:top w:val="nil"/>
              <w:left w:val="nil"/>
              <w:bottom w:val="single" w:sz="4" w:space="0" w:color="auto"/>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单位：万元</w:t>
            </w:r>
          </w:p>
        </w:tc>
      </w:tr>
      <w:tr>
        <w:tblPrEx>
          <w:tblW w:w="9439" w:type="dxa"/>
          <w:jc w:val="center"/>
          <w:tblInd w:w="0" w:type="dxa"/>
          <w:shd w:val="clear" w:color="auto" w:fill="auto"/>
          <w:tblLayout w:type="fixed"/>
          <w:tblCellMar>
            <w:top w:w="0" w:type="dxa"/>
            <w:left w:w="0" w:type="dxa"/>
            <w:bottom w:w="0" w:type="dxa"/>
            <w:right w:w="0" w:type="dxa"/>
          </w:tblCellMar>
        </w:tblPrEx>
        <w:trPr>
          <w:trHeight w:val="270"/>
          <w:jc w:val="center"/>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项目</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行次</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资产总额</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流动资产</w:t>
            </w:r>
          </w:p>
        </w:tc>
        <w:tc>
          <w:tcPr>
            <w:tcW w:w="3658"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固定资产</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对外投资/有价证券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在建工程</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无形资产</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其他资产</w:t>
            </w:r>
          </w:p>
        </w:tc>
      </w:tr>
      <w:tr>
        <w:tblPrEx>
          <w:tblW w:w="9439" w:type="dxa"/>
          <w:jc w:val="center"/>
          <w:tblInd w:w="0" w:type="dxa"/>
          <w:shd w:val="clear" w:color="auto" w:fill="auto"/>
          <w:tblLayout w:type="fixed"/>
          <w:tblCellMar>
            <w:top w:w="0" w:type="dxa"/>
            <w:left w:w="0" w:type="dxa"/>
            <w:bottom w:w="0" w:type="dxa"/>
            <w:right w:w="0" w:type="dxa"/>
          </w:tblCellMar>
        </w:tblPrEx>
        <w:trPr>
          <w:trHeight w:val="270"/>
          <w:jc w:val="center"/>
        </w:trPr>
        <w:tc>
          <w:tcPr>
            <w:tcW w:w="72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48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87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小计</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房屋构筑物</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车辆</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单价200万以上大型设备</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其他固定资产</w:t>
            </w: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r>
      <w:tr>
        <w:tblPrEx>
          <w:tblW w:w="9439" w:type="dxa"/>
          <w:jc w:val="center"/>
          <w:tblInd w:w="0" w:type="dxa"/>
          <w:shd w:val="clear" w:color="auto" w:fill="auto"/>
          <w:tblLayout w:type="fixed"/>
          <w:tblCellMar>
            <w:top w:w="0" w:type="dxa"/>
            <w:left w:w="0" w:type="dxa"/>
            <w:bottom w:w="0" w:type="dxa"/>
            <w:right w:w="0" w:type="dxa"/>
          </w:tblCellMar>
        </w:tblPrEx>
        <w:trPr>
          <w:trHeight w:val="1410"/>
          <w:jc w:val="center"/>
        </w:trPr>
        <w:tc>
          <w:tcPr>
            <w:tcW w:w="72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48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87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61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3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822"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c>
          <w:tcPr>
            <w:tcW w:w="74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default"/>
                <w:color w:val="000000"/>
                <w:kern w:val="0"/>
                <w:sz w:val="13"/>
                <w:szCs w:val="13"/>
                <w:lang w:val="en-US" w:eastAsia="zh-CN"/>
              </w:rPr>
            </w:pPr>
          </w:p>
        </w:tc>
      </w:tr>
      <w:tr>
        <w:tblPrEx>
          <w:tblW w:w="9439" w:type="dxa"/>
          <w:jc w:val="center"/>
          <w:tblInd w:w="0" w:type="dxa"/>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栏次</w:t>
            </w:r>
          </w:p>
        </w:tc>
        <w:tc>
          <w:tcPr>
            <w:tcW w:w="4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w:t>
            </w:r>
          </w:p>
        </w:tc>
        <w:tc>
          <w:tcPr>
            <w:tcW w:w="87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1</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2</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3</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4</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5</w:t>
            </w:r>
          </w:p>
        </w:tc>
        <w:tc>
          <w:tcPr>
            <w:tcW w:w="8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6</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7</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8</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9</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10</w:t>
            </w:r>
          </w:p>
        </w:tc>
        <w:tc>
          <w:tcPr>
            <w:tcW w:w="74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11</w:t>
            </w:r>
          </w:p>
        </w:tc>
      </w:tr>
      <w:tr>
        <w:tblPrEx>
          <w:tblW w:w="9439" w:type="dxa"/>
          <w:jc w:val="center"/>
          <w:tblInd w:w="0" w:type="dxa"/>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合计</w:t>
            </w:r>
          </w:p>
        </w:tc>
        <w:tc>
          <w:tcPr>
            <w:tcW w:w="4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1</w:t>
            </w:r>
          </w:p>
        </w:tc>
        <w:tc>
          <w:tcPr>
            <w:tcW w:w="87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1019.37 </w:t>
            </w:r>
          </w:p>
        </w:tc>
        <w:tc>
          <w:tcPr>
            <w:tcW w:w="72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190.61 </w:t>
            </w:r>
          </w:p>
        </w:tc>
        <w:tc>
          <w:tcPr>
            <w:tcW w:w="61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823.59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520.76 </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45.02 </w:t>
            </w:r>
          </w:p>
        </w:tc>
        <w:tc>
          <w:tcPr>
            <w:tcW w:w="8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0.00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257.81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0.00</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0.00</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 xml:space="preserve">5.17 </w:t>
            </w:r>
          </w:p>
        </w:tc>
        <w:tc>
          <w:tcPr>
            <w:tcW w:w="74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0.00</w:t>
            </w:r>
          </w:p>
        </w:tc>
      </w:tr>
      <w:tr>
        <w:tblPrEx>
          <w:tblW w:w="9439" w:type="dxa"/>
          <w:jc w:val="center"/>
          <w:tblInd w:w="0" w:type="dxa"/>
          <w:shd w:val="clear" w:color="auto" w:fill="auto"/>
          <w:tblLayout w:type="fixed"/>
          <w:tblCellMar>
            <w:top w:w="0" w:type="dxa"/>
            <w:left w:w="0" w:type="dxa"/>
            <w:bottom w:w="0" w:type="dxa"/>
            <w:right w:w="0" w:type="dxa"/>
          </w:tblCellMar>
        </w:tblPrEx>
        <w:trPr>
          <w:trHeight w:val="240"/>
          <w:jc w:val="center"/>
        </w:trPr>
        <w:tc>
          <w:tcPr>
            <w:tcW w:w="9439" w:type="dxa"/>
            <w:gridSpan w:val="13"/>
            <w:tcBorders>
              <w:top w:val="single" w:sz="4" w:space="0" w:color="auto"/>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both"/>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填报说明：　</w:t>
            </w:r>
          </w:p>
        </w:tc>
      </w:tr>
      <w:tr>
        <w:tblPrEx>
          <w:tblW w:w="9439" w:type="dxa"/>
          <w:jc w:val="center"/>
          <w:tblInd w:w="0" w:type="dxa"/>
          <w:shd w:val="clear" w:color="auto" w:fill="auto"/>
          <w:tblLayout w:type="fixed"/>
          <w:tblCellMar>
            <w:top w:w="0" w:type="dxa"/>
            <w:left w:w="0" w:type="dxa"/>
            <w:bottom w:w="0" w:type="dxa"/>
            <w:right w:w="0" w:type="dxa"/>
          </w:tblCellMar>
        </w:tblPrEx>
        <w:trPr>
          <w:trHeight w:val="300"/>
          <w:jc w:val="center"/>
        </w:trPr>
        <w:tc>
          <w:tcPr>
            <w:tcW w:w="9439" w:type="dxa"/>
            <w:gridSpan w:val="13"/>
            <w:tcBorders>
              <w:top w:val="nil"/>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both"/>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1.资产总额＝流动资产＋固定资产＋对外投资／有价证券＋在建工程＋无形资产＋其他资产。</w:t>
            </w:r>
          </w:p>
        </w:tc>
      </w:tr>
      <w:tr>
        <w:tblPrEx>
          <w:tblW w:w="9439" w:type="dxa"/>
          <w:jc w:val="center"/>
          <w:tblInd w:w="0" w:type="dxa"/>
          <w:shd w:val="clear" w:color="auto" w:fill="auto"/>
          <w:tblLayout w:type="fixed"/>
          <w:tblCellMar>
            <w:top w:w="0" w:type="dxa"/>
            <w:left w:w="0" w:type="dxa"/>
            <w:bottom w:w="0" w:type="dxa"/>
            <w:right w:w="0" w:type="dxa"/>
          </w:tblCellMar>
        </w:tblPrEx>
        <w:trPr>
          <w:trHeight w:val="285"/>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both"/>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2.固定资产＝房屋构筑物＋车辆＋单价200万元以上大型设备＋其他固定资产。</w:t>
            </w:r>
          </w:p>
        </w:tc>
      </w:tr>
      <w:tr>
        <w:tblPrEx>
          <w:tblW w:w="9439" w:type="dxa"/>
          <w:jc w:val="center"/>
          <w:tblInd w:w="0" w:type="dxa"/>
          <w:shd w:val="clear" w:color="auto" w:fill="auto"/>
          <w:tblLayout w:type="fixed"/>
          <w:tblCellMar>
            <w:top w:w="0" w:type="dxa"/>
            <w:left w:w="0" w:type="dxa"/>
            <w:bottom w:w="0" w:type="dxa"/>
            <w:right w:w="0" w:type="dxa"/>
          </w:tblCellMar>
        </w:tblPrEx>
        <w:trPr>
          <w:trHeight w:val="285"/>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both"/>
              <w:textAlignment w:val="auto"/>
              <w:rPr>
                <w:rFonts w:cs="宋体" w:hint="eastAsia"/>
                <w:color w:val="000000"/>
                <w:kern w:val="0"/>
                <w:sz w:val="13"/>
                <w:szCs w:val="13"/>
                <w:lang w:val="en-US" w:eastAsia="zh-CN"/>
              </w:rPr>
            </w:pPr>
            <w:r>
              <w:rPr>
                <w:rFonts w:cs="宋体" w:hint="eastAsia"/>
                <w:color w:val="000000"/>
                <w:kern w:val="0"/>
                <w:sz w:val="13"/>
                <w:szCs w:val="13"/>
                <w:lang w:val="en-US" w:eastAsia="zh-CN"/>
              </w:rPr>
              <w:t>3.填报金额为资产“账面原值”。</w:t>
            </w:r>
          </w:p>
        </w:tc>
      </w:tr>
    </w:tbl>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黑体" w:eastAsia="黑体" w:hAnsi="宋体" w:cs="黑体" w:hint="eastAsia"/>
          <w:kern w:val="0"/>
          <w:sz w:val="32"/>
          <w:szCs w:val="32"/>
        </w:rPr>
      </w:pPr>
      <w:r>
        <w:rPr>
          <w:rFonts w:ascii="方正黑体_GBK" w:eastAsia="方正黑体_GBK" w:hAnsi="方正黑体_GBK" w:cs="方正黑体_GBK" w:hint="eastAsia"/>
          <w:kern w:val="0"/>
          <w:sz w:val="32"/>
          <w:szCs w:val="32"/>
          <w:lang w:val="en-US" w:eastAsia="zh-CN"/>
        </w:rPr>
        <w:t>三、</w:t>
      </w:r>
      <w:r>
        <w:rPr>
          <w:rFonts w:ascii="黑体" w:eastAsia="黑体" w:hAnsi="宋体" w:cs="黑体" w:hint="eastAsia"/>
          <w:kern w:val="0"/>
          <w:sz w:val="32"/>
          <w:szCs w:val="32"/>
        </w:rPr>
        <w:t>政府采购支出情况</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2021年度，部门政府采购支出总额16.41万元，其中：政府采购货物支出16.41万元；政府采购工程支出0.00万元；政府采购服务支出0.00万元。授予中小企业合同金额0.00万元，占政府采购支出总额的0.00%。</w:t>
      </w:r>
    </w:p>
    <w:p>
      <w:pPr>
        <w:keepNext w:val="0"/>
        <w:keepLines w:val="0"/>
        <w:pageBreakBefore w:val="0"/>
        <w:widowControl/>
        <w:numPr>
          <w:ilvl w:val="0"/>
          <w:numId w:val="0"/>
        </w:numPr>
        <w:suppressLineNumbers w:val="0"/>
        <w:tabs>
          <w:tab w:val="left" w:pos="0"/>
        </w:tabs>
        <w:kinsoku/>
        <w:wordWrap/>
        <w:overflowPunct/>
        <w:topLinePunct/>
        <w:autoSpaceDE w:val="0"/>
        <w:autoSpaceDN/>
        <w:bidi w:val="0"/>
        <w:adjustRightInd/>
        <w:spacing w:before="0" w:beforeAutospacing="0" w:after="0" w:afterAutospacing="0" w:line="590" w:lineRule="exact"/>
        <w:ind w:left="480" w:right="0" w:leftChars="200" w:rightChars="0"/>
        <w:jc w:val="both"/>
        <w:textAlignment w:val="auto"/>
        <w:rPr>
          <w:rFonts w:ascii="黑体" w:eastAsia="黑体" w:hAnsi="宋体" w:cs="黑体" w:hint="eastAsia"/>
          <w:kern w:val="0"/>
          <w:sz w:val="32"/>
          <w:szCs w:val="32"/>
        </w:rPr>
      </w:pPr>
      <w:r>
        <w:rPr>
          <w:rFonts w:ascii="黑体" w:eastAsia="黑体" w:cs="黑体" w:hint="eastAsia"/>
          <w:kern w:val="0"/>
          <w:sz w:val="32"/>
          <w:szCs w:val="32"/>
          <w:lang w:val="en-US" w:eastAsia="zh-CN"/>
        </w:rPr>
        <w:t>四</w:t>
      </w:r>
      <w:r>
        <w:rPr>
          <w:rFonts w:ascii="黑体" w:eastAsia="黑体" w:cs="黑体" w:hint="eastAsia"/>
          <w:kern w:val="0"/>
          <w:sz w:val="32"/>
          <w:szCs w:val="32"/>
          <w:lang w:eastAsia="zh-CN"/>
        </w:rPr>
        <w:t>、</w:t>
      </w:r>
      <w:r>
        <w:rPr>
          <w:rFonts w:ascii="黑体" w:eastAsia="黑体" w:hAnsi="宋体" w:cs="黑体" w:hint="eastAsia"/>
          <w:kern w:val="0"/>
          <w:sz w:val="32"/>
          <w:szCs w:val="32"/>
        </w:rPr>
        <w:t>部门绩效自评情况</w:t>
      </w:r>
    </w:p>
    <w:p>
      <w:pPr>
        <w:pStyle w:val="NormalIndent"/>
        <w:keepNext w:val="0"/>
        <w:keepLines w:val="0"/>
        <w:pageBreakBefore w:val="0"/>
        <w:widowControl/>
        <w:suppressLineNumbers w:val="0"/>
        <w:kinsoku/>
        <w:wordWrap/>
        <w:overflowPunct/>
        <w:bidi w:val="0"/>
        <w:adjustRightInd/>
        <w:spacing w:beforeAutospacing="0" w:afterAutospacing="0" w:line="590" w:lineRule="exact"/>
        <w:ind w:right="0" w:rightChars="0"/>
        <w:textAlignment w:val="auto"/>
        <w:rPr>
          <w:rFonts w:ascii="仿宋" w:eastAsia="仿宋" w:hAnsi="仿宋" w:cs="仿宋" w:hint="eastAsia"/>
          <w:kern w:val="0"/>
          <w:sz w:val="32"/>
          <w:szCs w:val="32"/>
          <w:lang w:val="en-US" w:eastAsia="zh-CN" w:bidi="ar"/>
        </w:rPr>
      </w:pPr>
      <w:r>
        <w:rPr>
          <w:rFonts w:ascii="仿宋" w:eastAsia="仿宋" w:hAnsi="仿宋" w:cs="仿宋" w:hint="eastAsia"/>
          <w:kern w:val="0"/>
          <w:sz w:val="32"/>
          <w:szCs w:val="32"/>
          <w:lang w:val="en-US" w:eastAsia="zh-CN" w:bidi="ar"/>
        </w:rPr>
        <w:t>根据澄江市财政局印发的《关于开展2021年度市级部门整体支出和项目支出预算绩效自评工作的通知》，澄江市财政局对2021年整体支出和项目支出进行了绩效自评，共涉及预算项目26个，其中，自评等级为“优”的26个，“良”的0个，“中”的0个，“差”的0个。</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宋体" w:eastAsia="宋体" w:hAnsi="宋体" w:cs="宋体" w:hint="eastAsia"/>
          <w:kern w:val="0"/>
          <w:sz w:val="24"/>
          <w:szCs w:val="24"/>
        </w:rPr>
      </w:pPr>
      <w:r>
        <w:rPr>
          <w:rFonts w:ascii="仿宋" w:eastAsia="仿宋" w:hAnsi="仿宋" w:cs="仿宋" w:hint="eastAsia"/>
          <w:kern w:val="0"/>
          <w:sz w:val="32"/>
          <w:szCs w:val="32"/>
        </w:rPr>
        <w:t>部门绩效自评情况详见附表（附表10－附表12）。</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五、其他重要事项情况说明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无。</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rPr>
        <w:t>六、相关口径说明</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val="0"/>
        <w:autoSpaceDN/>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jc w:val="both"/>
        <w:textAlignment w:val="auto"/>
        <w:rPr>
          <w:rFonts w:ascii="宋体" w:eastAsia="宋体" w:hAnsi="宋体" w:cs="宋体" w:hint="eastAsia"/>
          <w:kern w:val="0"/>
          <w:sz w:val="24"/>
          <w:szCs w:val="24"/>
        </w:rPr>
      </w:pP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jc w:val="center"/>
        <w:textAlignment w:val="auto"/>
        <w:rPr>
          <w:rFonts w:ascii="黑体" w:eastAsia="黑体" w:hAnsi="宋体" w:cs="黑体" w:hint="eastAsia"/>
          <w:kern w:val="0"/>
          <w:sz w:val="36"/>
          <w:szCs w:val="36"/>
        </w:rPr>
      </w:pPr>
      <w:r>
        <w:rPr>
          <w:rFonts w:ascii="黑体" w:eastAsia="黑体" w:hAnsi="宋体" w:cs="黑体" w:hint="eastAsia"/>
          <w:kern w:val="0"/>
          <w:sz w:val="36"/>
          <w:szCs w:val="36"/>
        </w:rPr>
        <w:t>第五部分  名词解释</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黑体" w:eastAsia="黑体" w:hAnsi="宋体" w:cs="黑体" w:hint="eastAsia"/>
          <w:kern w:val="0"/>
          <w:sz w:val="32"/>
          <w:szCs w:val="32"/>
        </w:rPr>
        <w:t>一、政府采购。</w:t>
      </w:r>
      <w:r>
        <w:rPr>
          <w:rFonts w:ascii="仿宋" w:eastAsia="仿宋" w:hAnsi="仿宋" w:cs="仿宋" w:hint="eastAsia"/>
          <w:kern w:val="0"/>
          <w:sz w:val="32"/>
          <w:szCs w:val="32"/>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黑体" w:eastAsia="黑体" w:hAnsi="宋体" w:cs="黑体" w:hint="eastAsia"/>
          <w:kern w:val="0"/>
          <w:sz w:val="32"/>
          <w:szCs w:val="32"/>
        </w:rPr>
        <w:t>二、一般公共预算收入。</w:t>
      </w:r>
      <w:r>
        <w:rPr>
          <w:rFonts w:ascii="仿宋" w:eastAsia="仿宋" w:hAnsi="仿宋" w:cs="仿宋" w:hint="eastAsia"/>
          <w:kern w:val="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黑体" w:eastAsia="黑体" w:hAnsi="宋体" w:cs="黑体" w:hint="eastAsia"/>
          <w:kern w:val="0"/>
          <w:sz w:val="32"/>
          <w:szCs w:val="32"/>
        </w:rPr>
        <w:t>三、一般公共预算支出。</w:t>
      </w:r>
      <w:r>
        <w:rPr>
          <w:rFonts w:ascii="仿宋" w:eastAsia="仿宋" w:hAnsi="仿宋" w:cs="仿宋" w:hint="eastAsia"/>
          <w:kern w:val="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黑体" w:eastAsia="黑体" w:hAnsi="宋体" w:cs="黑体" w:hint="eastAsia"/>
          <w:kern w:val="0"/>
          <w:sz w:val="32"/>
          <w:szCs w:val="32"/>
        </w:rPr>
        <w:t>四、“三公”经费。</w:t>
      </w:r>
      <w:r>
        <w:rPr>
          <w:rFonts w:ascii="仿宋" w:eastAsia="仿宋" w:hAnsi="仿宋" w:cs="仿宋" w:hint="eastAsia"/>
          <w:kern w:val="0"/>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eastAsia="Arial" w:hAnsi="Arial" w:cs="Arial"/>
          <w:b/>
          <w:sz w:val="36"/>
        </w:rPr>
      </w:pPr>
      <w:r>
        <w:rPr>
          <w:rFonts w:ascii="Arial" w:eastAsia="Arial" w:hAnsi="Arial" w:cs="Arial"/>
          <w:b/>
          <w:sz w:val="36"/>
        </w:rPr>
        <w:t>监督索引号53042200436100601111</w:t>
      </w:r>
    </w:p>
    <w:sectPr>
      <w:pgSz w:w="11915" w:h="16851"/>
      <w:pgMar w:top="1440" w:right="1800" w:bottom="1440" w:left="1800"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7"/>
  <w:displayHorizontalDrawingGridEvery w:val="0"/>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B727D7"/>
    <w:rsid w:val="08E720CC"/>
    <w:rsid w:val="0C5A6B62"/>
    <w:rsid w:val="0F115AA6"/>
    <w:rsid w:val="13D27A3A"/>
    <w:rsid w:val="1CAC0D1A"/>
    <w:rsid w:val="1CD53267"/>
    <w:rsid w:val="1D4671BA"/>
    <w:rsid w:val="21D81D50"/>
    <w:rsid w:val="23D04EA5"/>
    <w:rsid w:val="242A1712"/>
    <w:rsid w:val="27FA25B3"/>
    <w:rsid w:val="28126FC4"/>
    <w:rsid w:val="39AB70BF"/>
    <w:rsid w:val="3E4A2A81"/>
    <w:rsid w:val="3FC2784F"/>
    <w:rsid w:val="430F539D"/>
    <w:rsid w:val="462E1094"/>
    <w:rsid w:val="46CB49F7"/>
    <w:rsid w:val="4C917975"/>
    <w:rsid w:val="51E02979"/>
    <w:rsid w:val="53332C9A"/>
    <w:rsid w:val="5709588D"/>
    <w:rsid w:val="574865E8"/>
    <w:rsid w:val="5A315A59"/>
    <w:rsid w:val="5DA93B87"/>
    <w:rsid w:val="64763E2C"/>
    <w:rsid w:val="67025A8D"/>
    <w:rsid w:val="67162951"/>
    <w:rsid w:val="6847190E"/>
    <w:rsid w:val="6D1639E5"/>
    <w:rsid w:val="6FE65EEE"/>
    <w:rsid w:val="70193EBC"/>
    <w:rsid w:val="76066838"/>
    <w:rsid w:val="7A915E49"/>
    <w:rsid w:val="7D297BAA"/>
    <w:rsid w:val="7D852B58"/>
    <w:rsid w:val="7DFC138F"/>
    <w:rsid w:val="7F791E0A"/>
  </w:rsids>
  <w:docVars>
    <w:docVar w:name="commondata" w:val="eyJoZGlkIjoiM2QwMjAyNjEwODE3MWI2NjdjMDZiZGIyZWU1MmFiYjI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unhideWhenUsed="0"/>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uiPriority w:val="99"/>
    <w:unhideWhenUsed/>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styleId="Heading1">
    <w:name w:val="heading 1"/>
    <w:basedOn w:val="Normal"/>
    <w:next w:val="Normal"/>
    <w:qFormat/>
    <w:pPr>
      <w:spacing w:before="0" w:beforeAutospacing="1" w:after="0" w:afterAutospacing="1"/>
      <w:ind w:left="0" w:right="0"/>
      <w:jc w:val="left"/>
      <w:outlineLvl w:val="0"/>
    </w:pPr>
    <w:rPr>
      <w:rFonts w:ascii="宋体" w:eastAsia="宋体" w:hAnsi="宋体" w:cs="宋体" w:hint="eastAsia"/>
      <w:b/>
      <w:bCs/>
      <w:kern w:val="44"/>
      <w:sz w:val="48"/>
      <w:szCs w:val="48"/>
      <w:lang w:val="en-US" w:eastAsia="zh-CN" w:bidi="ar"/>
    </w:rPr>
  </w:style>
  <w:style w:type="paragraph" w:styleId="Heading2">
    <w:name w:val="heading 2"/>
    <w:basedOn w:val="Normal"/>
    <w:next w:val="Normal"/>
    <w:qFormat/>
    <w:pPr>
      <w:spacing w:before="0" w:beforeAutospacing="1" w:after="0" w:afterAutospacing="1"/>
      <w:ind w:left="0" w:right="0"/>
      <w:jc w:val="left"/>
      <w:outlineLvl w:val="1"/>
    </w:pPr>
    <w:rPr>
      <w:rFonts w:ascii="宋体" w:eastAsia="宋体" w:hAnsi="宋体" w:cs="宋体" w:hint="eastAsia"/>
      <w:b/>
      <w:bCs/>
      <w:kern w:val="0"/>
      <w:sz w:val="36"/>
      <w:szCs w:val="36"/>
      <w:lang w:val="en-US" w:eastAsia="zh-CN" w:bidi="ar"/>
    </w:rPr>
  </w:style>
  <w:style w:type="paragraph" w:styleId="Heading3">
    <w:name w:val="heading 3"/>
    <w:basedOn w:val="Normal"/>
    <w:next w:val="Normal"/>
    <w:qFormat/>
    <w:pPr>
      <w:spacing w:before="0" w:beforeAutospacing="1" w:after="0" w:afterAutospacing="1"/>
      <w:ind w:left="0" w:right="0"/>
      <w:jc w:val="left"/>
      <w:outlineLvl w:val="2"/>
    </w:pPr>
    <w:rPr>
      <w:rFonts w:ascii="宋体" w:eastAsia="宋体" w:hAnsi="宋体" w:cs="宋体" w:hint="eastAsia"/>
      <w:b/>
      <w:bCs/>
      <w:kern w:val="0"/>
      <w:sz w:val="27"/>
      <w:szCs w:val="27"/>
      <w:lang w:val="en-US" w:eastAsia="zh-CN" w:bidi="ar"/>
    </w:rPr>
  </w:style>
  <w:style w:type="paragraph" w:styleId="Heading4">
    <w:name w:val="heading 4"/>
    <w:basedOn w:val="Normal"/>
    <w:next w:val="Normal"/>
    <w:qFormat/>
    <w:pPr>
      <w:spacing w:before="0" w:beforeAutospacing="1" w:after="0" w:afterAutospacing="1"/>
      <w:ind w:left="0" w:right="0"/>
      <w:jc w:val="left"/>
      <w:outlineLvl w:val="3"/>
    </w:pPr>
    <w:rPr>
      <w:rFonts w:ascii="宋体" w:eastAsia="宋体" w:hAnsi="宋体" w:cs="宋体" w:hint="eastAsia"/>
      <w:b/>
      <w:bCs/>
      <w:kern w:val="0"/>
      <w:sz w:val="24"/>
      <w:szCs w:val="24"/>
      <w:lang w:val="en-US" w:eastAsia="zh-CN" w:bidi="ar"/>
    </w:rPr>
  </w:style>
  <w:style w:type="paragraph" w:styleId="Heading5">
    <w:name w:val="heading 5"/>
    <w:basedOn w:val="Normal"/>
    <w:next w:val="Normal"/>
    <w:qFormat/>
    <w:pPr>
      <w:spacing w:before="0" w:beforeAutospacing="1" w:after="0" w:afterAutospacing="1"/>
      <w:ind w:left="0" w:right="0"/>
      <w:jc w:val="left"/>
      <w:outlineLvl w:val="4"/>
    </w:pPr>
    <w:rPr>
      <w:rFonts w:ascii="宋体" w:eastAsia="宋体" w:hAnsi="宋体" w:cs="宋体" w:hint="eastAsia"/>
      <w:b/>
      <w:bCs/>
      <w:kern w:val="0"/>
      <w:sz w:val="20"/>
      <w:szCs w:val="20"/>
      <w:lang w:val="en-US" w:eastAsia="zh-CN" w:bidi="ar"/>
    </w:rPr>
  </w:style>
  <w:style w:type="paragraph" w:styleId="Heading6">
    <w:name w:val="heading 6"/>
    <w:basedOn w:val="Normal"/>
    <w:next w:val="Normal"/>
    <w:qFormat/>
    <w:pPr>
      <w:spacing w:before="0" w:beforeAutospacing="1" w:after="0" w:afterAutospacing="1"/>
      <w:ind w:left="0" w:right="0"/>
      <w:jc w:val="left"/>
      <w:outlineLvl w:val="5"/>
    </w:pPr>
    <w:rPr>
      <w:rFonts w:ascii="宋体" w:eastAsia="宋体" w:hAnsi="宋体" w:cs="宋体" w:hint="eastAsia"/>
      <w:b/>
      <w:bCs/>
      <w:kern w:val="0"/>
      <w:sz w:val="15"/>
      <w:szCs w:val="15"/>
      <w:lang w:val="en-US" w:eastAsia="zh-CN" w:bidi="ar"/>
    </w:rPr>
  </w:style>
  <w:style w:type="character" w:default="1" w:styleId="DefaultParagraphFont">
    <w:name w:val="Default Paragraph Font"/>
    <w:uiPriority w:val="99"/>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NormalIndent">
    <w:name w:val="Normal Indent"/>
    <w:basedOn w:val="Normal"/>
    <w:next w:val="Normal"/>
    <w:qFormat/>
    <w:pPr>
      <w:snapToGrid w:val="0"/>
      <w:spacing w:before="0" w:beforeAutospacing="0" w:after="0" w:afterAutospacing="0" w:line="300" w:lineRule="auto"/>
      <w:ind w:left="0" w:right="0" w:firstLine="556"/>
      <w:jc w:val="left"/>
    </w:pPr>
    <w:rPr>
      <w:rFonts w:ascii="仿宋_GB2312" w:eastAsia="仿宋_GB2312" w:hAnsi="Times New Roman" w:cs="宋体" w:hint="default"/>
      <w:kern w:val="0"/>
      <w:sz w:val="24"/>
      <w:szCs w:val="24"/>
      <w:lang w:val="en-US" w:eastAsia="zh-CN" w:bidi="ar"/>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lang w:val="en-US" w:eastAsia="zh-CN" w:bidi="ar"/>
    </w:rPr>
  </w:style>
  <w:style w:type="paragraph" w:styleId="NormalWeb">
    <w:name w:val="Normal (Web)"/>
    <w:basedOn w:val="Normal"/>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HTMLChar">
    <w:name w:val="HTML 预设格式 Char"/>
    <w:basedOn w:val="Normal"/>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character" w:customStyle="1" w:styleId="18">
    <w:name w:val="18"/>
    <w:basedOn w:val="DefaultParagraphFont"/>
    <w:qFormat/>
    <w:rPr>
      <w:rFonts w:ascii="Times New Roman" w:hAnsi="Times New Roman" w:cs="Times New Roman" w:hint="default"/>
    </w:rPr>
  </w:style>
  <w:style w:type="character" w:customStyle="1" w:styleId="10">
    <w:name w:val="10"/>
    <w:basedOn w:val="DefaultParagraphFont"/>
    <w:rPr>
      <w:rFonts w:ascii="Times New Roman" w:hAnsi="Times New Roman" w:cs="Times New Roman" w:hint="default"/>
    </w:rPr>
  </w:style>
  <w:style w:type="paragraph" w:customStyle="1" w:styleId="HTMLCharChar">
    <w:name w:val="HTML 预设格式 Char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Char">
    <w:name w:val="普通(网站)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15">
    <w:name w:val="15"/>
    <w:basedOn w:val="DefaultParagraphFont"/>
    <w:qFormat/>
    <w:rPr>
      <w:rFonts w:ascii="Times New Roman" w:eastAsia="楷体_GB2312" w:hAnsi="Times New Roman" w:cs="楷体_GB2312" w:hint="default"/>
      <w:sz w:val="28"/>
      <w:szCs w:val="28"/>
    </w:rPr>
  </w:style>
  <w:style w:type="paragraph" w:customStyle="1" w:styleId="pChar">
    <w:name w:val="p Char"/>
    <w:basedOn w:val="Normal"/>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16">
    <w:name w:val="16"/>
    <w:basedOn w:val="DefaultParagraphFont"/>
    <w:qFormat/>
    <w:rPr>
      <w:rFonts w:ascii="Times New Roman" w:hAnsi="Times New Roman" w:cs="Times New Roman" w:hint="default"/>
    </w:rPr>
  </w:style>
  <w:style w:type="character" w:customStyle="1" w:styleId="17">
    <w:name w:val="17"/>
    <w:basedOn w:val="DefaultParagraphFont"/>
    <w:qFormat/>
    <w:rPr>
      <w:rFonts w:ascii="Times New Roman" w:hAnsi="Times New Roman" w:cs="Times New Roman" w:hint="default"/>
    </w:rPr>
  </w:style>
  <w:style w:type="character" w:customStyle="1" w:styleId="19">
    <w:name w:val="19"/>
    <w:basedOn w:val="DefaultParagraphFont"/>
    <w:qFormat/>
    <w:rPr>
      <w:rFonts w:ascii="Times New Roman" w:hAnsi="Times New Roman" w:cs="Times New Roman" w:hint="default"/>
    </w:rPr>
  </w:style>
  <w:style w:type="paragraph" w:customStyle="1" w:styleId="HTMLCharCharChar">
    <w:name w:val="HTML 预设格式 Char Char Char"/>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CharChar">
    <w:name w:val="普通(网站) Char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preChar">
    <w:name w:val="pre Char"/>
    <w:basedOn w:val="Normal"/>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1">
    <w:name w:val="列出段落1"/>
    <w:basedOn w:val="Normal"/>
    <w:qFormat/>
    <w:pPr>
      <w:keepNext w:val="0"/>
      <w:keepLines w:val="0"/>
      <w:widowControl w:val="0"/>
      <w:suppressLineNumbers w:val="0"/>
      <w:spacing w:before="0" w:beforeAutospacing="0" w:after="0" w:afterAutospacing="0"/>
      <w:ind w:left="0" w:right="0" w:firstLine="420" w:firstLineChars="200"/>
      <w:jc w:val="both"/>
    </w:pPr>
    <w:rPr>
      <w:rFonts w:ascii="Calibri" w:eastAsia="宋体" w:hAnsi="Calibri" w:cs="Times New Roman" w:hint="default"/>
      <w:kern w:val="2"/>
      <w:sz w:val="21"/>
      <w:szCs w:val="21"/>
      <w:lang w:val="en-US" w:eastAsia="zh-CN" w:bidi="ar"/>
    </w:rPr>
  </w:style>
  <w:style w:type="paragraph" w:customStyle="1" w:styleId="28">
    <w:name w:val="28"/>
    <w:basedOn w:val="Normal"/>
    <w:pPr>
      <w:spacing w:before="0" w:beforeAutospacing="0" w:after="0" w:afterAutospacing="0"/>
      <w:ind w:left="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18</Pages>
  <Words>6783</Words>
  <Characters>7672</Characters>
  <Application>Microsoft Office Word</Application>
  <DocSecurity>0</DocSecurity>
  <Lines>1</Lines>
  <Paragraphs>1</Paragraphs>
  <ScaleCrop>false</ScaleCrop>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张爱菲</cp:lastModifiedBy>
  <cp:revision>1</cp:revision>
  <dcterms:created xsi:type="dcterms:W3CDTF">2022-10-11T03:32:00Z</dcterms:created>
  <dcterms:modified xsi:type="dcterms:W3CDTF">2022-10-11T07:58:15Z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A2B0E4E0AB1A432FBD39560839AC974A</vt:lpwstr>
  </property>
  <property fmtid="{D5CDD505-2E9C-101B-9397-08002B2CF9AE}" pid="3" name="KSOProductBuildVer">
    <vt:lpwstr>2052-10.8.0.5950</vt:lpwstr>
  </property>
</Properties>
</file>